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before="120" w:after="12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АНОНС</w:t>
      </w:r>
      <w:r/>
    </w:p>
    <w:p>
      <w:pPr>
        <w:spacing w:before="120" w:after="12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28.11.2022</w:t>
      </w:r>
      <w:r/>
    </w:p>
    <w:p>
      <w:pPr>
        <w:jc w:val="center"/>
        <w:spacing w:before="120" w:after="120" w:line="276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Подведение итогов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Национального чемпионата «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Абилимпикс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»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в Республике Калмыкия</w:t>
      </w:r>
      <w:r/>
    </w:p>
    <w:p>
      <w:pPr>
        <w:pStyle w:val="874"/>
        <w:jc w:val="both"/>
        <w:keepLines w:val="0"/>
        <w:keepNext w:val="0"/>
        <w:spacing w:before="120" w:line="276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Накануне Международного дня инвалидов,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1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декабря, в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Элисте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состоится церемония награждения победителей Национального чемпионата по профессиональному мастерству среди инвалидов и лиц с ограниченными возможностями здоровья </w:t>
      </w:r>
      <w:hyperlink r:id="rId11" w:tooltip="https://abilympics-russia.ru" w:history="1">
        <w:r>
          <w:rPr>
            <w:rFonts w:ascii="Times New Roman" w:hAnsi="Times New Roman" w:eastAsia="Times New Roman" w:cs="Times New Roman"/>
            <w:sz w:val="24"/>
            <w:szCs w:val="24"/>
            <w:u w:val="single"/>
          </w:rPr>
          <w:t xml:space="preserve">«Абилимпикс»</w:t>
        </w:r>
      </w:hyperlink>
      <w:r>
        <w:rPr>
          <w:rFonts w:ascii="Times New Roman" w:hAnsi="Times New Roman" w:eastAsia="Times New Roman" w:cs="Times New Roman"/>
          <w:sz w:val="24"/>
          <w:szCs w:val="24"/>
        </w:rPr>
        <w:t xml:space="preserve"> 2022 года президентской платформы </w:t>
      </w:r>
      <w:hyperlink r:id="rId12" w:tooltip="https://rsv.ru" w:history="1">
        <w:r>
          <w:rPr>
            <w:rFonts w:ascii="Times New Roman" w:hAnsi="Times New Roman" w:eastAsia="Times New Roman" w:cs="Times New Roman"/>
            <w:sz w:val="24"/>
            <w:szCs w:val="24"/>
            <w:u w:val="single"/>
          </w:rPr>
          <w:t xml:space="preserve">«Россия – страна возможностей»</w:t>
        </w:r>
      </w:hyperlink>
      <w:r>
        <w:rPr>
          <w:rFonts w:ascii="Times New Roman" w:hAnsi="Times New Roman" w:eastAsia="Times New Roman" w:cs="Times New Roman"/>
          <w:sz w:val="24"/>
          <w:szCs w:val="24"/>
        </w:rPr>
        <w:t xml:space="preserve">, реализуемого в рамках </w:t>
      </w:r>
      <w:hyperlink r:id="rId13" w:tooltip="https://nationalpriority.ru" w:history="1">
        <w:r>
          <w:rPr>
            <w:rFonts w:ascii="Times New Roman" w:hAnsi="Times New Roman" w:eastAsia="Times New Roman" w:cs="Times New Roman"/>
            <w:sz w:val="24"/>
            <w:szCs w:val="24"/>
            <w:u w:val="single"/>
          </w:rPr>
          <w:t xml:space="preserve">Национального проекта «Образование»</w:t>
        </w:r>
      </w:hyperlink>
      <w:r>
        <w:rPr>
          <w:rFonts w:ascii="Times New Roman" w:hAnsi="Times New Roman" w:eastAsia="Times New Roman" w:cs="Times New Roman"/>
          <w:sz w:val="24"/>
          <w:szCs w:val="24"/>
        </w:rPr>
        <w:t xml:space="preserve">. Мероприятие состоится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на площадке ЦРД в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Элистинском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политехническом колледже имени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Эльвартынова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Ильи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Нимановича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с участием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министра образования и науки Республики Калмыкия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Булган Ангировой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заместителя министра социального развития, труда и занятости Республики Калмыкия Ольги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Маминовой</w:t>
      </w:r>
      <w:r>
        <w:rPr>
          <w:rFonts w:ascii="Times New Roman" w:hAnsi="Times New Roman" w:cs="Times New Roman"/>
          <w:sz w:val="24"/>
          <w:szCs w:val="24"/>
        </w:rPr>
        <w:t xml:space="preserve">, в так же </w:t>
      </w:r>
      <w:r>
        <w:rPr>
          <w:rFonts w:ascii="Times New Roman" w:hAnsi="Times New Roman" w:cs="Times New Roman"/>
          <w:sz w:val="24"/>
          <w:szCs w:val="24"/>
        </w:rPr>
        <w:t xml:space="preserve">Координационный совет партнёров «</w:t>
      </w:r>
      <w:r>
        <w:rPr>
          <w:rFonts w:ascii="Times New Roman" w:hAnsi="Times New Roman" w:cs="Times New Roman"/>
          <w:sz w:val="24"/>
          <w:szCs w:val="24"/>
        </w:rPr>
        <w:t xml:space="preserve">Абилимпикс</w:t>
      </w:r>
      <w:r>
        <w:rPr>
          <w:rFonts w:ascii="Times New Roman" w:hAnsi="Times New Roman" w:cs="Times New Roman"/>
          <w:sz w:val="24"/>
          <w:szCs w:val="24"/>
        </w:rPr>
        <w:t xml:space="preserve">» Республики Калмыкия</w:t>
      </w:r>
      <w:r>
        <w:rPr>
          <w:rFonts w:ascii="Times New Roman" w:hAnsi="Times New Roman" w:cs="Times New Roman"/>
          <w:sz w:val="24"/>
          <w:szCs w:val="24"/>
        </w:rPr>
        <w:t xml:space="preserve"> 2022 года, члены которого оказывали поддержку участникам чемпионата в течение всего периода.</w:t>
      </w:r>
      <w:bookmarkStart w:id="0" w:name="_GoBack"/>
      <w:r>
        <w:rPr>
          <w:sz w:val="24"/>
          <w:szCs w:val="24"/>
        </w:rPr>
      </w:r>
      <w:bookmarkEnd w:id="0"/>
      <w:r>
        <w:rPr>
          <w:rFonts w:ascii="Times New Roman" w:hAnsi="Times New Roman" w:eastAsia="Times New Roman" w:cs="Times New Roman"/>
          <w:sz w:val="24"/>
          <w:szCs w:val="24"/>
        </w:rPr>
      </w:r>
      <w:r/>
    </w:p>
    <w:p>
      <w:pPr>
        <w:pStyle w:val="874"/>
        <w:jc w:val="both"/>
        <w:keepLines w:val="0"/>
        <w:keepNext w:val="0"/>
        <w:spacing w:before="120" w:line="276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 декабря, в единый день награждения победителей Национального чемпионата «Абилимпикс», будут вручены сертификаты в рамках поручения Правительства Российской Федерации. Торжественные мероприя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тия пройдут в регионах в домах правительства, министерствах или на площадках центров развития движения «Абилимпикс». В них примут участие почетные гости - руководители регионов или их заместители, министры в сфере образования, труда и социальной политики,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общественных организаций инвалидов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 Кроме победителей Национального чемпионата «Абилимпикс» на награждении будут присутствовать их родители, наставники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  <w:r>
        <w:rPr/>
      </w:r>
      <w:r>
        <w:rPr/>
      </w:r>
    </w:p>
    <w:p>
      <w:pPr>
        <w:pStyle w:val="874"/>
        <w:jc w:val="both"/>
        <w:keepLines w:val="0"/>
        <w:keepNext w:val="0"/>
        <w:spacing w:before="120" w:line="276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По всей стране сертификаты получат 695 победителей по 40 основным компетенциям. Из них 243 участника получат сертификат за первое место, 235 - за второе и 217 конкурсантов - за третье место.</w:t>
      </w:r>
      <w:r>
        <w:rPr/>
      </w:r>
      <w:r>
        <w:rPr/>
      </w:r>
    </w:p>
    <w:p>
      <w:pPr>
        <w:ind w:left="0" w:right="0" w:firstLine="0"/>
        <w:jc w:val="both"/>
        <w:spacing w:before="0" w:after="0" w:line="68" w:lineRule="atLeast"/>
        <w:rPr>
          <w:rFonts w:ascii="Times New Roman" w:hAnsi="Times New Roman" w:eastAsia="Times New Roman" w:cs="Times New Roman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4"/>
          <w:szCs w:val="24"/>
        </w:rPr>
        <w:t xml:space="preserve">Из </w:t>
      </w:r>
      <w:r>
        <w:rPr>
          <w:rFonts w:ascii="Times New Roman" w:hAnsi="Times New Roman" w:cs="Times New Roman"/>
          <w:sz w:val="24"/>
          <w:szCs w:val="24"/>
        </w:rPr>
        <w:t xml:space="preserve">Республики Калмыкия </w:t>
      </w:r>
      <w:r>
        <w:rPr>
          <w:rFonts w:ascii="Times New Roman" w:hAnsi="Times New Roman" w:cs="Times New Roman"/>
          <w:sz w:val="24"/>
          <w:szCs w:val="24"/>
        </w:rPr>
        <w:t xml:space="preserve">в числе победителей Национального чемпионата «</w:t>
      </w:r>
      <w:r>
        <w:rPr>
          <w:rFonts w:ascii="Times New Roman" w:hAnsi="Times New Roman" w:cs="Times New Roman"/>
          <w:sz w:val="24"/>
          <w:szCs w:val="24"/>
        </w:rPr>
        <w:t xml:space="preserve">Абилимпикс</w:t>
      </w:r>
      <w:r>
        <w:rPr>
          <w:rFonts w:ascii="Times New Roman" w:hAnsi="Times New Roman" w:cs="Times New Roman"/>
          <w:sz w:val="24"/>
          <w:szCs w:val="24"/>
        </w:rPr>
        <w:t xml:space="preserve">» по </w:t>
      </w:r>
      <w:r>
        <w:rPr>
          <w:rFonts w:ascii="Times New Roman" w:hAnsi="Times New Roman" w:cs="Times New Roman"/>
          <w:sz w:val="24"/>
          <w:szCs w:val="24"/>
        </w:rPr>
        <w:t xml:space="preserve">дополнительным</w:t>
      </w:r>
      <w:r>
        <w:rPr>
          <w:rFonts w:ascii="Times New Roman" w:hAnsi="Times New Roman" w:cs="Times New Roman"/>
          <w:sz w:val="24"/>
          <w:szCs w:val="24"/>
        </w:rPr>
        <w:t xml:space="preserve"> компетенциям</w:t>
      </w:r>
      <w:r>
        <w:rPr>
          <w:rFonts w:ascii="Times New Roman" w:hAnsi="Times New Roman" w:cs="Times New Roman"/>
          <w:sz w:val="24"/>
          <w:szCs w:val="24"/>
        </w:rPr>
        <w:t xml:space="preserve"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соревнования по которым прошли в очно-дистанционном формате с 19 по 29 сентября на площадке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1 человек, </w:t>
      </w:r>
      <w:r>
        <w:rPr>
          <w:rFonts w:ascii="Times New Roman" w:hAnsi="Times New Roman" w:cs="Times New Roman"/>
          <w:sz w:val="24"/>
          <w:szCs w:val="24"/>
        </w:rPr>
        <w:t xml:space="preserve">Байрта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Кичикова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,</w:t>
      </w:r>
      <w:r>
        <w:rPr>
          <w:rFonts w:ascii="Times New Roman" w:hAnsi="Times New Roman" w:cs="Times New Roman"/>
          <w:sz w:val="24"/>
          <w:szCs w:val="24"/>
        </w:rPr>
        <w:t xml:space="preserve"> учитель </w:t>
      </w:r>
      <w:r>
        <w:rPr>
          <w:rFonts w:ascii="Times New Roman" w:hAnsi="Times New Roman" w:cs="Times New Roman"/>
          <w:sz w:val="24"/>
          <w:szCs w:val="24"/>
        </w:rPr>
        <w:t xml:space="preserve">МКОУ «</w:t>
      </w:r>
      <w:r>
        <w:rPr>
          <w:rFonts w:ascii="Times New Roman" w:hAnsi="Times New Roman" w:cs="Times New Roman"/>
          <w:sz w:val="24"/>
          <w:szCs w:val="24"/>
        </w:rPr>
        <w:t xml:space="preserve">Яшкульская</w:t>
      </w:r>
      <w:r>
        <w:rPr>
          <w:rFonts w:ascii="Times New Roman" w:hAnsi="Times New Roman" w:cs="Times New Roman"/>
          <w:sz w:val="24"/>
          <w:szCs w:val="24"/>
        </w:rPr>
        <w:t xml:space="preserve"> многопрофильная гимназия имени </w:t>
      </w:r>
      <w:r>
        <w:rPr>
          <w:rFonts w:ascii="Times New Roman" w:hAnsi="Times New Roman" w:cs="Times New Roman"/>
          <w:sz w:val="24"/>
          <w:szCs w:val="24"/>
        </w:rPr>
        <w:t xml:space="preserve">Хаглышевой</w:t>
      </w:r>
      <w:r>
        <w:rPr>
          <w:rFonts w:ascii="Times New Roman" w:hAnsi="Times New Roman" w:cs="Times New Roman"/>
          <w:sz w:val="24"/>
          <w:szCs w:val="24"/>
        </w:rPr>
        <w:t xml:space="preserve"> Елизаветы </w:t>
      </w:r>
      <w:r>
        <w:rPr>
          <w:rFonts w:ascii="Times New Roman" w:hAnsi="Times New Roman" w:cs="Times New Roman"/>
          <w:sz w:val="24"/>
          <w:szCs w:val="24"/>
        </w:rPr>
        <w:t xml:space="preserve">Кюкеновны</w:t>
      </w:r>
      <w:r>
        <w:rPr>
          <w:rFonts w:ascii="Times New Roman" w:hAnsi="Times New Roman" w:cs="Times New Roman"/>
          <w:sz w:val="24"/>
          <w:szCs w:val="24"/>
        </w:rPr>
        <w:t xml:space="preserve">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занявшая 3 место в компетенции «Учитель начальных классов», категория «специалист».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sz w:val="24"/>
        </w:rPr>
      </w:r>
      <w:r/>
    </w:p>
    <w:p>
      <w:pPr>
        <w:ind w:left="0" w:right="0" w:firstLine="0"/>
        <w:jc w:val="both"/>
        <w:spacing w:before="0" w:after="0" w:line="68" w:lineRule="atLeast"/>
        <w:rPr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Победители по дополнительным компетенциям Национального чемпионата «Абилимпикс» получат возможность стать участниками проекта «Больше, чем путешествие» платформы «Россия - страна возможностей».</w:t>
      </w:r>
      <w:r>
        <w:rPr>
          <w:sz w:val="24"/>
          <w:szCs w:val="24"/>
        </w:rPr>
      </w:r>
      <w:r/>
    </w:p>
    <w:p>
      <w:pPr>
        <w:jc w:val="both"/>
        <w:spacing w:before="120" w:after="120" w:line="276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 2022 году Национальный чемпионат «Абилимпикс» проходил в двух форматах. В очно-дистанционном форм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ате на специально организованных площадках по месту проживания участников в 84 регионах страны в конце сентября прошли соревнования по 39 дополнительным компетенциям. В очном формате в Москве соревнования прошли по 40 основным компетенциям в конце октября.</w:t>
      </w:r>
      <w:r>
        <w:rPr>
          <w:sz w:val="24"/>
          <w:szCs w:val="24"/>
        </w:rPr>
      </w:r>
      <w:r/>
    </w:p>
    <w:p>
      <w:pPr>
        <w:jc w:val="both"/>
        <w:spacing w:before="120" w:after="120" w:line="276" w:lineRule="auto"/>
        <w:rPr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 28 по 31 октября 2022 года Национальный чемпионат «Абилимпикс» проходил в выставочном центре «Гостиный двор» и на четырёх площадках образовательных организаций в Москве. В соревнованиях приняли участие 1077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конкурсантов из 78 регионов России в трех категориях: среди школьников, студентов и специалистов. На мероприятии прошла обширная деловая программа, на которой были продемонстрированы лучшие региональные практики по теме трудоустройства, прошло обсуждение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вопросов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по профессиональному самоопределению, занятости, трудоустройству людей с инвалидностью, а также Всероссийская конференция по инклюзивному образованию. Для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участников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состоялись выступления в стиле TED от инклюзивных мотиваторов и лидеров мнений, а также послов чемпионата и победителей конкурсов предыдущих лет. Всего мероприятия деловой программы посетили более 7500 человек.</w:t>
      </w:r>
      <w:r>
        <w:rPr>
          <w:sz w:val="24"/>
          <w:szCs w:val="24"/>
        </w:rPr>
      </w:r>
      <w:r/>
    </w:p>
    <w:p>
      <w:pPr>
        <w:ind w:left="0" w:right="120" w:firstLine="0"/>
        <w:spacing w:before="120" w:after="120"/>
        <w:rPr>
          <w:rFonts w:ascii="Abyssinica SIL" w:hAnsi="Abyssinica SIL" w:cs="Abyssinica SIL"/>
          <w:color w:val="000000" w:themeColor="text1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u w:val="single"/>
        </w:rPr>
        <w:t xml:space="preserve">Медиаматериалы по ссылке: </w:t>
      </w:r>
      <w:r>
        <w:rPr>
          <w:rFonts w:ascii="Abyssinica SIL" w:hAnsi="Abyssinica SIL" w:eastAsia="Liberation Sans" w:cs="Abyssinica SIL"/>
          <w:color w:val="000000" w:themeColor="text1"/>
          <w:sz w:val="24"/>
          <w:highlight w:val="white"/>
          <w:u w:val="single"/>
        </w:rPr>
        <w:t xml:space="preserve">https://cloud.mail.ru/public/ZBB2/ipDWvHKMb</w:t>
      </w:r>
      <w:r>
        <w:rPr>
          <w:rFonts w:ascii="Abyssinica SIL" w:hAnsi="Abyssinica SIL" w:cs="Abyssinica SIL"/>
          <w:color w:val="000000" w:themeColor="text1"/>
          <w:sz w:val="24"/>
        </w:rPr>
      </w:r>
      <w:r/>
    </w:p>
    <w:p>
      <w:pPr>
        <w:spacing w:before="120" w:after="120" w:line="276" w:lineRule="auto"/>
        <w:tabs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  <w:tab w:val="left" w:pos="8989" w:leader="none"/>
        </w:tabs>
        <w:rPr>
          <w:rFonts w:ascii="Times New Roman" w:hAnsi="Times New Roman" w:eastAsia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u w:val="single"/>
        </w:rPr>
        <w:t xml:space="preserve">Общие </w:t>
      </w:r>
      <w:r>
        <w:rPr>
          <w:rFonts w:ascii="Times New Roman" w:hAnsi="Times New Roman" w:eastAsia="Times New Roman" w:cs="Times New Roman"/>
          <w:b/>
          <w:sz w:val="24"/>
          <w:szCs w:val="24"/>
          <w:u w:val="single"/>
        </w:rPr>
        <w:t xml:space="preserve">медиаматериалы</w:t>
      </w:r>
      <w:r>
        <w:rPr>
          <w:rFonts w:ascii="Times New Roman" w:hAnsi="Times New Roman" w:eastAsia="Times New Roman" w:cs="Times New Roman"/>
          <w:b/>
          <w:sz w:val="24"/>
          <w:szCs w:val="24"/>
          <w:u w:val="single"/>
        </w:rPr>
        <w:t xml:space="preserve"> НЧА: https://disk.yandex.ru/d/nsmxJKmyg72G0A</w:t>
      </w:r>
      <w:r/>
    </w:p>
    <w:p>
      <w:pPr>
        <w:spacing w:before="120" w:after="120" w:line="276" w:lineRule="auto"/>
        <w:rPr>
          <w:rFonts w:ascii="Times New Roman" w:hAnsi="Times New Roman" w:eastAsia="Times New Roman" w:cs="Times New Roman"/>
          <w:b/>
          <w:sz w:val="22"/>
          <w:szCs w:val="22"/>
          <w:u w:val="single"/>
        </w:rPr>
      </w:pPr>
      <w:r>
        <w:rPr>
          <w:rFonts w:ascii="Times New Roman" w:hAnsi="Times New Roman" w:eastAsia="Times New Roman" w:cs="Times New Roman"/>
          <w:b/>
          <w:sz w:val="22"/>
          <w:szCs w:val="22"/>
          <w:u w:val="single"/>
        </w:rPr>
        <w:t xml:space="preserve">Информационная справка:</w:t>
      </w:r>
      <w:r>
        <w:rPr>
          <w:sz w:val="22"/>
          <w:szCs w:val="22"/>
        </w:rPr>
      </w:r>
      <w:r/>
    </w:p>
    <w:p>
      <w:pPr>
        <w:jc w:val="both"/>
        <w:spacing w:before="120" w:after="120" w:line="276" w:lineRule="auto"/>
        <w:tabs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  <w:tab w:val="left" w:pos="8989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sz w:val="22"/>
          <w:szCs w:val="22"/>
        </w:rPr>
        <w:t xml:space="preserve">Чемпионаты по профессиональному мастерству среди инвалидов и лиц с ОВЗ «Абилимпикс» являются частью президентской платформы «Россия – страна возможностей».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Движение обеспечивает эффективную профессиональную ориентацию и мотивацию инвалидов и лиц с ограниченными возможностями здоровья к получению профессионального обр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азования, содействует их трудоустройству и социокультурной инклюзии в обществе. Оператором чемпионатного движения «Абилимпикс» в России является Национальный центр «Абилимпикс», созданный на базе ФГБОУ ДПО «Институт развития профессионального образования».</w:t>
      </w:r>
      <w:r>
        <w:rPr>
          <w:sz w:val="22"/>
          <w:szCs w:val="22"/>
        </w:rPr>
      </w:r>
      <w:r/>
    </w:p>
    <w:p>
      <w:pPr>
        <w:jc w:val="both"/>
        <w:spacing w:before="120" w:after="120" w:line="276" w:lineRule="auto"/>
        <w:tabs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  <w:tab w:val="left" w:pos="8989" w:leader="none"/>
        </w:tabs>
        <w:rPr>
          <w:rFonts w:ascii="Times New Roman" w:hAnsi="Times New Roman" w:eastAsia="Times New Roman" w:cs="Times New Roman"/>
          <w:bCs/>
          <w:sz w:val="22"/>
          <w:szCs w:val="22"/>
        </w:rPr>
      </w:pPr>
      <w:r>
        <w:rPr>
          <w:rFonts w:ascii="Times New Roman" w:hAnsi="Times New Roman" w:eastAsia="Times New Roman" w:cs="Times New Roman"/>
          <w:b/>
          <w:sz w:val="22"/>
          <w:szCs w:val="22"/>
        </w:rPr>
        <w:t xml:space="preserve">Автономная некоммерческая организация «Россия – страна возможностей» </w:t>
      </w:r>
      <w:r>
        <w:rPr>
          <w:rFonts w:ascii="Times New Roman" w:hAnsi="Times New Roman" w:eastAsia="Times New Roman" w:cs="Times New Roman"/>
          <w:bCs/>
          <w:sz w:val="22"/>
          <w:szCs w:val="22"/>
        </w:rPr>
        <w:t xml:space="preserve">была создана по инициативе Президента РФ Владимира Путина 22 мая 2018 года. Миссия платформы – создавать будуще</w:t>
      </w:r>
      <w:r>
        <w:rPr>
          <w:rFonts w:ascii="Times New Roman" w:hAnsi="Times New Roman" w:eastAsia="Times New Roman" w:cs="Times New Roman"/>
          <w:bCs/>
          <w:sz w:val="22"/>
          <w:szCs w:val="22"/>
        </w:rPr>
        <w:t xml:space="preserve">е России, открывая равные возможности для каждого. Платформа помогает каждому человеку, независимо от того, где он живет, какую профессию он выбрал и в какой семье вырос, получить возможности для своего развития. Это открытая площадка для общения талантлив</w:t>
      </w:r>
      <w:r>
        <w:rPr>
          <w:rFonts w:ascii="Times New Roman" w:hAnsi="Times New Roman" w:eastAsia="Times New Roman" w:cs="Times New Roman"/>
          <w:bCs/>
          <w:sz w:val="22"/>
          <w:szCs w:val="22"/>
        </w:rPr>
        <w:t xml:space="preserve">ых и неравнодушных людей всех возрастов, обмена опытом между школьниками, студентами, профильными специалистами, предпринимателями, управленцами и волонтерами. Наблюдательный совет АНО «Россия – страна возможностей» возглавляет Президент РФ Владимир Путин.</w:t>
      </w:r>
      <w:r>
        <w:rPr>
          <w:sz w:val="22"/>
          <w:szCs w:val="22"/>
        </w:rPr>
      </w:r>
      <w:r/>
    </w:p>
    <w:p>
      <w:pPr>
        <w:jc w:val="both"/>
        <w:spacing w:before="120" w:after="120" w:line="276" w:lineRule="auto"/>
        <w:tabs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  <w:tab w:val="left" w:pos="8989" w:leader="none"/>
        </w:tabs>
        <w:rPr>
          <w:rFonts w:ascii="Times New Roman" w:hAnsi="Times New Roman" w:eastAsia="Times New Roman" w:cs="Times New Roman"/>
          <w:bCs/>
          <w:sz w:val="22"/>
          <w:szCs w:val="22"/>
        </w:rPr>
      </w:pPr>
      <w:r>
        <w:rPr>
          <w:rFonts w:ascii="Times New Roman" w:hAnsi="Times New Roman" w:eastAsia="Times New Roman" w:cs="Times New Roman"/>
          <w:bCs/>
          <w:sz w:val="22"/>
          <w:szCs w:val="22"/>
        </w:rPr>
        <w:t xml:space="preserve">За 4 года работы платформы участник</w:t>
      </w:r>
      <w:r>
        <w:rPr>
          <w:rFonts w:ascii="Times New Roman" w:hAnsi="Times New Roman" w:eastAsia="Times New Roman" w:cs="Times New Roman"/>
          <w:bCs/>
          <w:sz w:val="22"/>
          <w:szCs w:val="22"/>
        </w:rPr>
        <w:t xml:space="preserve">ами её 26 проектов стали более 15 миллионов человек из всех регионов России и 150 стран мира, а партнерами – более 1500 компаний, вузов, государственных и общественных организаций. Участие в проектах, конкурсах и олимпиадах платформы помогает найти единомы</w:t>
      </w:r>
      <w:r>
        <w:rPr>
          <w:rFonts w:ascii="Times New Roman" w:hAnsi="Times New Roman" w:eastAsia="Times New Roman" w:cs="Times New Roman"/>
          <w:bCs/>
          <w:sz w:val="22"/>
          <w:szCs w:val="22"/>
        </w:rPr>
        <w:t xml:space="preserve">шленников и завести полезные знакомства, поступить в вуз или пройти перспективную стажировку, найти работу мечты, продвинуться в карьере, выиграть грант, получить персонального наставника, который поможет отточить мастерство или развить лидерские качества.</w:t>
      </w:r>
      <w:r>
        <w:rPr>
          <w:sz w:val="22"/>
          <w:szCs w:val="22"/>
        </w:rPr>
      </w:r>
      <w:r/>
    </w:p>
    <w:p>
      <w:pPr>
        <w:jc w:val="both"/>
        <w:spacing w:before="120" w:after="120" w:line="276" w:lineRule="auto"/>
        <w:tabs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  <w:tab w:val="left" w:pos="8989" w:leader="none"/>
        </w:tabs>
        <w:rPr>
          <w:rFonts w:ascii="Times New Roman" w:hAnsi="Times New Roman" w:eastAsia="Times New Roman" w:cs="Times New Roman"/>
          <w:bCs/>
          <w:sz w:val="22"/>
          <w:szCs w:val="22"/>
        </w:rPr>
      </w:pPr>
      <w:r>
        <w:rPr>
          <w:rFonts w:ascii="Times New Roman" w:hAnsi="Times New Roman" w:eastAsia="Times New Roman" w:cs="Times New Roman"/>
          <w:bCs/>
          <w:sz w:val="22"/>
          <w:szCs w:val="22"/>
        </w:rPr>
        <w:t xml:space="preserve">АНО «Россия – страна возможностей»</w:t>
      </w:r>
      <w:r>
        <w:rPr>
          <w:rFonts w:ascii="Times New Roman" w:hAnsi="Times New Roman" w:eastAsia="Times New Roman" w:cs="Times New Roman"/>
          <w:b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bCs/>
          <w:sz w:val="22"/>
          <w:szCs w:val="22"/>
        </w:rPr>
        <w:t xml:space="preserve">развивает одноименную платформу, объединяющую 26 проектов: ко</w:t>
      </w:r>
      <w:r>
        <w:rPr>
          <w:rFonts w:ascii="Times New Roman" w:hAnsi="Times New Roman" w:eastAsia="Times New Roman" w:cs="Times New Roman"/>
          <w:bCs/>
          <w:sz w:val="22"/>
          <w:szCs w:val="22"/>
        </w:rPr>
        <w:t xml:space="preserve">нкурс управленцев «Лидеры России»,  клуб Лидеров России «Эльбрус», всероссийская олимпиада студентов «Я – профессионал», всероссийский студенческий конкурс «Твой Ход», всероссийский конкурс «Большая перемена», всероссийский проект «Время карьеры», проект «</w:t>
      </w:r>
      <w:r>
        <w:rPr>
          <w:rFonts w:ascii="Times New Roman" w:hAnsi="Times New Roman" w:eastAsia="Times New Roman" w:cs="Times New Roman"/>
          <w:bCs/>
          <w:sz w:val="22"/>
          <w:szCs w:val="22"/>
        </w:rPr>
        <w:t xml:space="preserve">ТопБЛОГ</w:t>
      </w:r>
      <w:r>
        <w:rPr>
          <w:rFonts w:ascii="Times New Roman" w:hAnsi="Times New Roman" w:eastAsia="Times New Roman" w:cs="Times New Roman"/>
          <w:bCs/>
          <w:sz w:val="22"/>
          <w:szCs w:val="22"/>
        </w:rPr>
        <w:t xml:space="preserve">», проект «Культурный код», фестиваль «Российская студенческая весна», всероссийский конкурс «Мастера гостеприимства», «Цифровой прорыв.</w:t>
      </w:r>
      <w:r>
        <w:rPr>
          <w:rFonts w:ascii="Times New Roman" w:hAnsi="Times New Roman" w:eastAsia="Times New Roman" w:cs="Times New Roman"/>
          <w:bCs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bCs/>
          <w:sz w:val="22"/>
          <w:szCs w:val="22"/>
        </w:rPr>
        <w:t xml:space="preserve">Сезон: искусственный интеллект», всероссийский профессиональный конкурс «Флагманы образования», всероссийский конкурс «Лучший социальный проект года», чемпионаты по профессиональному мастерству среди инвалидов и лиц с ограниченными возможностями здоровья «</w:t>
      </w:r>
      <w:r>
        <w:rPr>
          <w:rFonts w:ascii="Times New Roman" w:hAnsi="Times New Roman" w:eastAsia="Times New Roman" w:cs="Times New Roman"/>
          <w:bCs/>
          <w:sz w:val="22"/>
          <w:szCs w:val="22"/>
        </w:rPr>
        <w:t xml:space="preserve">Абилимпикс</w:t>
      </w:r>
      <w:r>
        <w:rPr>
          <w:rFonts w:ascii="Times New Roman" w:hAnsi="Times New Roman" w:eastAsia="Times New Roman" w:cs="Times New Roman"/>
          <w:bCs/>
          <w:sz w:val="22"/>
          <w:szCs w:val="22"/>
        </w:rPr>
        <w:t xml:space="preserve">», конкурс «</w:t>
      </w:r>
      <w:r>
        <w:rPr>
          <w:rFonts w:ascii="Times New Roman" w:hAnsi="Times New Roman" w:eastAsia="Times New Roman" w:cs="Times New Roman"/>
          <w:bCs/>
          <w:sz w:val="22"/>
          <w:szCs w:val="22"/>
        </w:rPr>
        <w:t xml:space="preserve">Экософия</w:t>
      </w:r>
      <w:r>
        <w:rPr>
          <w:rFonts w:ascii="Times New Roman" w:hAnsi="Times New Roman" w:eastAsia="Times New Roman" w:cs="Times New Roman"/>
          <w:bCs/>
          <w:sz w:val="22"/>
          <w:szCs w:val="22"/>
        </w:rPr>
        <w:t xml:space="preserve">», Российская национальная премия «Студент года», движение </w:t>
      </w:r>
      <w:r>
        <w:rPr>
          <w:rFonts w:ascii="Times New Roman" w:hAnsi="Times New Roman" w:eastAsia="Times New Roman" w:cs="Times New Roman"/>
          <w:bCs/>
          <w:sz w:val="22"/>
          <w:szCs w:val="22"/>
        </w:rPr>
        <w:t xml:space="preserve">Ворлдскиллс</w:t>
      </w:r>
      <w:r>
        <w:rPr>
          <w:rFonts w:ascii="Times New Roman" w:hAnsi="Times New Roman" w:eastAsia="Times New Roman" w:cs="Times New Roman"/>
          <w:bCs/>
          <w:sz w:val="22"/>
          <w:szCs w:val="22"/>
        </w:rPr>
        <w:t xml:space="preserve"> Россия, благотворительный проект «Мечтай со мной», конкурс «Моя страна – моя Россия», международный инженерный чемпионат «CASE-IN», «Национальная технологическая олимпиада», платформа «Другое дело», Международный строительный чемпионат</w:t>
      </w:r>
      <w:r>
        <w:rPr>
          <w:rFonts w:ascii="Times New Roman" w:hAnsi="Times New Roman" w:eastAsia="Times New Roman" w:cs="Times New Roman"/>
          <w:bCs/>
          <w:sz w:val="22"/>
          <w:szCs w:val="22"/>
        </w:rPr>
        <w:t xml:space="preserve">, </w:t>
      </w:r>
      <w:r>
        <w:rPr>
          <w:rFonts w:ascii="Times New Roman" w:hAnsi="Times New Roman" w:eastAsia="Times New Roman" w:cs="Times New Roman"/>
          <w:bCs/>
          <w:sz w:val="22"/>
          <w:szCs w:val="22"/>
        </w:rPr>
        <w:t xml:space="preserve">проект «Начни игру», программа поощрительных поездок «Больше, чем путешествие», в т.ч. проект «Больше, чем работа» и </w:t>
      </w:r>
      <w:r>
        <w:rPr>
          <w:rFonts w:ascii="Times New Roman" w:hAnsi="Times New Roman" w:eastAsia="Times New Roman" w:cs="Times New Roman"/>
          <w:bCs/>
          <w:sz w:val="22"/>
          <w:szCs w:val="22"/>
        </w:rPr>
        <w:t xml:space="preserve">проект «Открываем Россию заново», а также конкурс «Пишем будущее» для школьников и студентов ДНР и ЛНР.</w:t>
      </w:r>
      <w:r>
        <w:rPr>
          <w:sz w:val="22"/>
          <w:szCs w:val="22"/>
        </w:rPr>
      </w:r>
      <w:r/>
    </w:p>
    <w:p>
      <w:pPr>
        <w:jc w:val="both"/>
        <w:spacing w:before="120" w:after="120" w:line="276" w:lineRule="auto"/>
        <w:tabs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  <w:tab w:val="left" w:pos="8989" w:leader="none"/>
        </w:tabs>
        <w:rPr>
          <w:rFonts w:ascii="Times New Roman" w:hAnsi="Times New Roman" w:eastAsia="Times New Roman" w:cs="Times New Roman"/>
          <w:bCs/>
          <w:sz w:val="22"/>
          <w:szCs w:val="22"/>
        </w:rPr>
      </w:pPr>
      <w:r>
        <w:rPr>
          <w:rFonts w:ascii="Times New Roman" w:hAnsi="Times New Roman" w:eastAsia="Times New Roman" w:cs="Times New Roman"/>
          <w:bCs/>
          <w:sz w:val="22"/>
          <w:szCs w:val="22"/>
        </w:rPr>
        <w:t xml:space="preserve">В рамках деятельности АНО «Россия – страна возможностей» в феврале 2019 года создан образовательный центр – Мастерская управления «Сенеж». Обучение в</w:t>
      </w:r>
      <w:r>
        <w:rPr>
          <w:rFonts w:ascii="Times New Roman" w:hAnsi="Times New Roman" w:eastAsia="Times New Roman" w:cs="Times New Roman"/>
          <w:bCs/>
          <w:sz w:val="22"/>
          <w:szCs w:val="22"/>
        </w:rPr>
        <w:t xml:space="preserve"> нем проходят участники проектов и конкурсов платформы, активная молодежь, а также управленцы и государственные служащие. Мастерская выступает площадкой для проведения различных образовательных и молодежных форумов, в том числе форума «Территория смыслов».</w:t>
      </w:r>
      <w:r>
        <w:rPr>
          <w:sz w:val="22"/>
          <w:szCs w:val="22"/>
        </w:rPr>
      </w:r>
      <w:r/>
    </w:p>
    <w:p>
      <w:pPr>
        <w:jc w:val="both"/>
        <w:spacing w:before="120" w:after="120" w:line="276" w:lineRule="auto"/>
        <w:tabs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  <w:tab w:val="left" w:pos="8989" w:leader="none"/>
        </w:tabs>
        <w:rPr>
          <w:rFonts w:ascii="Times New Roman" w:hAnsi="Times New Roman" w:eastAsia="Times New Roman" w:cs="Times New Roman"/>
          <w:bCs/>
          <w:sz w:val="22"/>
          <w:szCs w:val="22"/>
        </w:rPr>
      </w:pPr>
      <w:r>
        <w:rPr>
          <w:rFonts w:ascii="Times New Roman" w:hAnsi="Times New Roman" w:eastAsia="Times New Roman" w:cs="Times New Roman"/>
          <w:bCs/>
          <w:sz w:val="22"/>
          <w:szCs w:val="22"/>
        </w:rPr>
        <w:t xml:space="preserve">В рамках АНО «Р</w:t>
      </w:r>
      <w:r>
        <w:rPr>
          <w:rFonts w:ascii="Times New Roman" w:hAnsi="Times New Roman" w:eastAsia="Times New Roman" w:cs="Times New Roman"/>
          <w:bCs/>
          <w:sz w:val="22"/>
          <w:szCs w:val="22"/>
        </w:rPr>
        <w:t xml:space="preserve">оссия – страна возможностей» в августе 2020 года создан департамент оценки и методологии. Его задачами являются разработка и внедрение собственных инструментов оценки управленческих и деловых компетенций во все конкурсы и проекты платформы «Россия – страна</w:t>
      </w:r>
      <w:r>
        <w:rPr>
          <w:rFonts w:ascii="Times New Roman" w:hAnsi="Times New Roman" w:eastAsia="Times New Roman" w:cs="Times New Roman"/>
          <w:bCs/>
          <w:sz w:val="22"/>
          <w:szCs w:val="22"/>
        </w:rPr>
        <w:t xml:space="preserve"> возможностей» и партнеров, создание и поддержка центров компетенций в университетах, проведение оценки, организация обучения и подготовки кадров для деятельности центров компетенций. В вузах в 30 регионах страны создано более 60 центров оценки и развития </w:t>
      </w:r>
      <w:r>
        <w:rPr>
          <w:rFonts w:ascii="Times New Roman" w:hAnsi="Times New Roman" w:eastAsia="Times New Roman" w:cs="Times New Roman"/>
          <w:bCs/>
          <w:sz w:val="22"/>
          <w:szCs w:val="22"/>
        </w:rPr>
        <w:t xml:space="preserve">надпрофессиональных</w:t>
      </w:r>
      <w:r>
        <w:rPr>
          <w:rFonts w:ascii="Times New Roman" w:hAnsi="Times New Roman" w:eastAsia="Times New Roman" w:cs="Times New Roman"/>
          <w:bCs/>
          <w:sz w:val="22"/>
          <w:szCs w:val="22"/>
        </w:rPr>
        <w:t xml:space="preserve"> компетенций студентов.</w:t>
      </w:r>
      <w:r>
        <w:rPr>
          <w:sz w:val="22"/>
          <w:szCs w:val="22"/>
        </w:rPr>
      </w:r>
      <w:r/>
    </w:p>
    <w:p>
      <w:pPr>
        <w:spacing w:before="120" w:after="120" w:line="276" w:lineRule="auto"/>
        <w:tabs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  <w:tab w:val="left" w:pos="8989" w:leader="none"/>
        </w:tabs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eastAsia="Times New Roman" w:cs="Times New Roman"/>
          <w:b/>
          <w:sz w:val="22"/>
          <w:szCs w:val="22"/>
          <w:u w:val="single"/>
        </w:rPr>
        <w:t xml:space="preserve">Контактная информация: </w:t>
      </w:r>
      <w:r>
        <w:rPr>
          <w:sz w:val="22"/>
          <w:szCs w:val="22"/>
        </w:rPr>
      </w:r>
      <w:r/>
    </w:p>
    <w:tbl>
      <w:tblPr>
        <w:tblStyle w:val="894"/>
        <w:tblW w:w="9489" w:type="dxa"/>
        <w:tblInd w:w="224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tblLayout w:type="fixed"/>
        <w:tblLook w:val="0400" w:firstRow="0" w:lastRow="0" w:firstColumn="0" w:lastColumn="0" w:noHBand="0" w:noVBand="1"/>
      </w:tblPr>
      <w:tblGrid>
        <w:gridCol w:w="3115"/>
        <w:gridCol w:w="2974"/>
        <w:gridCol w:w="3400"/>
      </w:tblGrid>
      <w:tr>
        <w:trPr>
          <w:trHeight w:val="226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3115" w:type="dxa"/>
            <w:textDirection w:val="lrTb"/>
            <w:noWrap w:val="false"/>
          </w:tcPr>
          <w:p>
            <w:pPr>
              <w:spacing w:line="276" w:lineRule="auto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</w:tabs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>Руководитель Центра развития движения «</w:t>
            </w: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>Абилимпикс</w:t>
            </w: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>» Республики Калмыкия</w:t>
            </w:r>
            <w:r>
              <w:rPr>
                <w:sz w:val="22"/>
                <w:szCs w:val="22"/>
              </w:rPr>
            </w:r>
            <w:r/>
          </w:p>
          <w:p>
            <w:pPr>
              <w:spacing w:line="276" w:lineRule="auto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</w:tabs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Галина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Васькина  </w:t>
            </w:r>
            <w:r>
              <w:rPr>
                <w:sz w:val="22"/>
                <w:szCs w:val="22"/>
              </w:rPr>
            </w:r>
            <w:r/>
          </w:p>
          <w:p>
            <w:pPr>
              <w:spacing w:line="276" w:lineRule="auto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</w:tabs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+7(906) 437-03-75</w:t>
            </w:r>
            <w:r>
              <w:rPr>
                <w:sz w:val="22"/>
                <w:szCs w:val="22"/>
              </w:rPr>
            </w:r>
            <w:r/>
          </w:p>
          <w:p>
            <w:pPr>
              <w:spacing w:line="276" w:lineRule="auto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abilympics_kalmykia@mail.ru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2974" w:type="dxa"/>
            <w:textDirection w:val="lrTb"/>
            <w:noWrap w:val="false"/>
          </w:tcPr>
          <w:p>
            <w:pPr>
              <w:spacing w:line="276" w:lineRule="auto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</w:tabs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>Руководитель пресс-службы </w:t>
            </w:r>
            <w:r>
              <w:rPr>
                <w:sz w:val="22"/>
                <w:szCs w:val="22"/>
              </w:rPr>
            </w:r>
            <w:r/>
          </w:p>
          <w:p>
            <w:pPr>
              <w:spacing w:line="276" w:lineRule="auto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</w:tabs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>Национального Центра «Абилимпикс» </w:t>
            </w:r>
            <w:r>
              <w:rPr>
                <w:sz w:val="22"/>
                <w:szCs w:val="22"/>
              </w:rPr>
            </w:r>
            <w:r/>
          </w:p>
          <w:p>
            <w:pPr>
              <w:spacing w:line="276" w:lineRule="auto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</w:tabs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Ал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ё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на Бахрома</w:t>
            </w:r>
            <w:r>
              <w:rPr>
                <w:sz w:val="22"/>
                <w:szCs w:val="22"/>
              </w:rPr>
            </w:r>
            <w:r/>
          </w:p>
          <w:p>
            <w:pPr>
              <w:spacing w:line="276" w:lineRule="auto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</w:tabs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+ 7 (902) 659-58-88</w:t>
            </w:r>
            <w:r>
              <w:rPr>
                <w:sz w:val="22"/>
                <w:szCs w:val="22"/>
              </w:rPr>
            </w:r>
            <w:r/>
          </w:p>
          <w:p>
            <w:pPr>
              <w:spacing w:line="276" w:lineRule="auto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hyperlink r:id="rId14" w:tooltip="mailto:alena.Bahroma@gmail.com" w:history="1">
              <w:r>
                <w:rPr>
                  <w:rFonts w:ascii="Times New Roman" w:hAnsi="Times New Roman" w:eastAsia="Times New Roman" w:cs="Times New Roman"/>
                  <w:color w:val="0000ff"/>
                  <w:sz w:val="22"/>
                  <w:szCs w:val="22"/>
                  <w:u w:val="single"/>
                </w:rPr>
                <w:t xml:space="preserve">alena.Bahroma@gmail.com</w:t>
              </w:r>
            </w:hyperlink>
            <w:r>
              <w:rPr>
                <w:sz w:val="22"/>
                <w:szCs w:val="22"/>
              </w:rPr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3400" w:type="dxa"/>
            <w:textDirection w:val="lrTb"/>
            <w:noWrap w:val="false"/>
          </w:tcPr>
          <w:p>
            <w:pPr>
              <w:jc w:val="both"/>
              <w:spacing w:before="120" w:after="120" w:line="2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>Руководитель направления региональных коммуникаций АНО «Россия – страна возможностей»</w:t>
            </w:r>
            <w:r>
              <w:rPr>
                <w:sz w:val="22"/>
                <w:szCs w:val="22"/>
              </w:rPr>
            </w:r>
            <w:r/>
          </w:p>
          <w:p>
            <w:pPr>
              <w:spacing w:before="120" w:after="120" w:line="2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Елена Барсегова</w:t>
            </w:r>
            <w:r>
              <w:rPr>
                <w:sz w:val="22"/>
                <w:szCs w:val="22"/>
              </w:rPr>
            </w:r>
            <w:r/>
          </w:p>
          <w:p>
            <w:pPr>
              <w:spacing w:before="120" w:after="120" w:line="2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+ 7 (926) 189-10-11</w:t>
            </w:r>
            <w:r>
              <w:rPr>
                <w:sz w:val="22"/>
                <w:szCs w:val="22"/>
              </w:rPr>
            </w:r>
            <w:r/>
          </w:p>
          <w:p>
            <w:pPr>
              <w:spacing w:before="120" w:after="120" w:line="276" w:lineRule="auto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hyperlink r:id="rId15" w:tooltip="mailto:nina.maslova@rsv.ru" w:history="1">
              <w:r>
                <w:rPr>
                  <w:rFonts w:ascii="Times New Roman" w:hAnsi="Times New Roman" w:eastAsia="Times New Roman" w:cs="Times New Roman"/>
                  <w:color w:val="0000ff"/>
                  <w:sz w:val="22"/>
                  <w:szCs w:val="22"/>
                  <w:u w:val="single"/>
                </w:rPr>
                <w:t xml:space="preserve">elena.barsegova@rsv.ru</w:t>
              </w:r>
            </w:hyperlink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 </w:t>
            </w:r>
            <w:r>
              <w:rPr>
                <w:sz w:val="22"/>
                <w:szCs w:val="22"/>
              </w:rPr>
            </w:r>
            <w:r/>
          </w:p>
        </w:tc>
      </w:tr>
    </w:tbl>
    <w:p>
      <w:pPr>
        <w:ind w:left="116" w:hanging="116"/>
        <w:spacing w:before="120" w:after="120" w:line="276" w:lineRule="auto"/>
        <w:widowControl w:val="off"/>
        <w:tabs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  <w:tab w:val="left" w:pos="8989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</w:r>
      <w:r>
        <w:rPr>
          <w:sz w:val="22"/>
          <w:szCs w:val="22"/>
        </w:rPr>
      </w:r>
      <w:r/>
    </w:p>
    <w:sectPr>
      <w:headerReference w:type="default" r:id="rId8"/>
      <w:footerReference w:type="default" r:id="rId9"/>
      <w:footnotePr/>
      <w:endnotePr/>
      <w:type w:val="nextPage"/>
      <w:pgSz w:w="11900" w:h="16840" w:orient="portrait"/>
      <w:pgMar w:top="1843" w:right="851" w:bottom="851" w:left="1560" w:header="709" w:footer="709" w:gutter="0"/>
      <w:pgNumType w:start="1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</w:font>
  <w:font w:name="Georgia">
    <w:panose1 w:val="02020603050405020304"/>
  </w:font>
  <w:font w:name="Times New Roman">
    <w:panose1 w:val="02020603050405020304"/>
  </w:font>
  <w:font w:name="Arial Unicode MS">
    <w:panose1 w:val="020B0604020202020204"/>
  </w:font>
  <w:font w:name="Arial">
    <w:panose1 w:val="020B0604020202020204"/>
  </w:font>
  <w:font w:name="Abyssinica SIL">
    <w:panose1 w:val="02000603020000020004"/>
  </w:font>
  <w:font w:name="helvetica neue">
    <w:panose1 w:val="05040102010807070707"/>
  </w:font>
  <w:font w:name="Calibri">
    <w:panose1 w:val="020F0502020204030204"/>
  </w:font>
  <w:font w:name="Cambria">
    <w:panose1 w:val="020206030504050203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tabs>
        <w:tab w:val="right" w:pos="9020" w:leader="none"/>
      </w:tabs>
      <w:rPr>
        <w:rFonts w:ascii="Helvetica Neue" w:hAnsi="Helvetica Neue" w:eastAsia="Helvetica Neue" w:cs="Helvetica Neue"/>
      </w:r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>
      <w:rPr>
        <w:rFonts w:ascii="Helvetica Neue" w:hAnsi="Helvetica Neue" w:eastAsia="Helvetica Neue" w:cs="Helvetica Neue"/>
      </w:rPr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tabs>
        <w:tab w:val="center" w:pos="4677" w:leader="none"/>
        <w:tab w:val="right" w:pos="9355" w:leader="none"/>
      </w:tabs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51658240" behindDoc="1" locked="0" layoutInCell="1" allowOverlap="1">
              <wp:simplePos x="0" y="0"/>
              <wp:positionH relativeFrom="page">
                <wp:posOffset>5067636</wp:posOffset>
              </wp:positionH>
              <wp:positionV relativeFrom="page">
                <wp:posOffset>166766</wp:posOffset>
              </wp:positionV>
              <wp:extent cx="925095" cy="765857"/>
              <wp:effectExtent l="0" t="0" r="0" b="0"/>
              <wp:wrapNone/>
              <wp:docPr id="1" name="image3.png" descr="Изображение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3.png" descr="Изображение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925095" cy="765857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z-index:-251658240;o:allowoverlap:true;o:allowincell:true;mso-position-horizontal-relative:page;margin-left:399.0pt;mso-position-horizontal:absolute;mso-position-vertical-relative:page;margin-top:13.1pt;mso-position-vertical:absolute;width:72.8pt;height:60.3pt;mso-wrap-distance-left:0.0pt;mso-wrap-distance-top:0.0pt;mso-wrap-distance-right:0.0pt;mso-wrap-distance-bottom:0.0pt;">
              <v:path textboxrect="0,0,0,0"/>
              <v:imagedata r:id="rId1" o:title=""/>
            </v:shape>
          </w:pict>
        </mc:Fallback>
      </mc:AlternateContent>
    </w: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51659264" behindDoc="1" locked="0" layoutInCell="1" allowOverlap="1">
              <wp:simplePos x="0" y="0"/>
              <wp:positionH relativeFrom="page">
                <wp:posOffset>6404443</wp:posOffset>
              </wp:positionH>
              <wp:positionV relativeFrom="page">
                <wp:posOffset>161798</wp:posOffset>
              </wp:positionV>
              <wp:extent cx="574206" cy="926561"/>
              <wp:effectExtent l="0" t="0" r="0" b="0"/>
              <wp:wrapNone/>
              <wp:docPr id="2" name="image1.png" descr="Изображение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1.png" descr="Изображение"/>
                      <pic:cNvPicPr/>
                      <pic:nvPr/>
                    </pic:nvPicPr>
                    <pic:blipFill>
                      <a:blip r:embed="rId2"/>
                      <a:stretch/>
                    </pic:blipFill>
                    <pic:spPr bwMode="auto">
                      <a:xfrm>
                        <a:off x="0" y="0"/>
                        <a:ext cx="574206" cy="926561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1" o:spid="_x0000_s1" type="#_x0000_t75" style="position:absolute;z-index:-251659264;o:allowoverlap:true;o:allowincell:true;mso-position-horizontal-relative:page;margin-left:504.3pt;mso-position-horizontal:absolute;mso-position-vertical-relative:page;margin-top:12.7pt;mso-position-vertical:absolute;width:45.2pt;height:73.0pt;mso-wrap-distance-left:0.0pt;mso-wrap-distance-top:0.0pt;mso-wrap-distance-right:0.0pt;mso-wrap-distance-bottom:0.0pt;">
              <v:path textboxrect="0,0,0,0"/>
              <v:imagedata r:id="rId2" o:title=""/>
            </v:shape>
          </w:pict>
        </mc:Fallback>
      </mc:AlternateContent>
    </w: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51660288" behindDoc="1" locked="0" layoutInCell="1" allowOverlap="1">
              <wp:simplePos x="0" y="0"/>
              <wp:positionH relativeFrom="page">
                <wp:posOffset>3342640</wp:posOffset>
              </wp:positionH>
              <wp:positionV relativeFrom="page">
                <wp:posOffset>408940</wp:posOffset>
              </wp:positionV>
              <wp:extent cx="1390015" cy="530225"/>
              <wp:effectExtent l="0" t="0" r="0" b="0"/>
              <wp:wrapNone/>
              <wp:docPr id="3" name="image2.png" descr="Рисунок 19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2.png" descr="Рисунок 19"/>
                      <pic:cNvPicPr/>
                      <pic:nvPr/>
                    </pic:nvPicPr>
                    <pic:blipFill>
                      <a:blip r:embed="rId3"/>
                      <a:stretch/>
                    </pic:blipFill>
                    <pic:spPr bwMode="auto">
                      <a:xfrm>
                        <a:off x="0" y="0"/>
                        <a:ext cx="1390015" cy="530225"/>
                      </a:xfrm>
                      <a:prstGeom prst="rect">
                        <a:avLst/>
                      </a:prstGeom>
                      <a:ln>
                        <a:miter/>
                      </a:ln>
                    </pic:spPr>
                  </pic:pic>
                </a:graphicData>
              </a:graphic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2" o:spid="_x0000_s2" type="#_x0000_t75" style="position:absolute;z-index:-251660288;o:allowoverlap:true;o:allowincell:true;mso-position-horizontal-relative:page;margin-left:263.2pt;mso-position-horizontal:absolute;mso-position-vertical-relative:page;margin-top:32.2pt;mso-position-vertical:absolute;width:109.4pt;height:41.8pt;mso-wrap-distance-left:0.0pt;mso-wrap-distance-top:0.0pt;mso-wrap-distance-right:0.0pt;mso-wrap-distance-bottom:0.0pt;">
              <v:path textboxrect="0,0,0,0"/>
              <v:imagedata r:id="rId3" o:title=""/>
            </v:shape>
          </w:pict>
        </mc:Fallback>
      </mc:AlternateContent>
    </w:r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Calibri"/>
        <w:sz w:val="24"/>
        <w:szCs w:val="24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04">
    <w:name w:val="Heading 1 Char"/>
    <w:basedOn w:val="880"/>
    <w:link w:val="874"/>
    <w:uiPriority w:val="9"/>
    <w:rPr>
      <w:rFonts w:ascii="Arial" w:hAnsi="Arial" w:eastAsia="Arial" w:cs="Arial"/>
      <w:sz w:val="40"/>
      <w:szCs w:val="40"/>
    </w:rPr>
  </w:style>
  <w:style w:type="character" w:styleId="705">
    <w:name w:val="Heading 2 Char"/>
    <w:basedOn w:val="880"/>
    <w:link w:val="875"/>
    <w:uiPriority w:val="9"/>
    <w:rPr>
      <w:rFonts w:ascii="Arial" w:hAnsi="Arial" w:eastAsia="Arial" w:cs="Arial"/>
      <w:sz w:val="34"/>
    </w:rPr>
  </w:style>
  <w:style w:type="character" w:styleId="706">
    <w:name w:val="Heading 3 Char"/>
    <w:basedOn w:val="880"/>
    <w:link w:val="876"/>
    <w:uiPriority w:val="9"/>
    <w:rPr>
      <w:rFonts w:ascii="Arial" w:hAnsi="Arial" w:eastAsia="Arial" w:cs="Arial"/>
      <w:sz w:val="30"/>
      <w:szCs w:val="30"/>
    </w:rPr>
  </w:style>
  <w:style w:type="character" w:styleId="707">
    <w:name w:val="Heading 4 Char"/>
    <w:basedOn w:val="880"/>
    <w:link w:val="877"/>
    <w:uiPriority w:val="9"/>
    <w:rPr>
      <w:rFonts w:ascii="Arial" w:hAnsi="Arial" w:eastAsia="Arial" w:cs="Arial"/>
      <w:b/>
      <w:bCs/>
      <w:sz w:val="26"/>
      <w:szCs w:val="26"/>
    </w:rPr>
  </w:style>
  <w:style w:type="character" w:styleId="708">
    <w:name w:val="Heading 5 Char"/>
    <w:basedOn w:val="880"/>
    <w:link w:val="878"/>
    <w:uiPriority w:val="9"/>
    <w:rPr>
      <w:rFonts w:ascii="Arial" w:hAnsi="Arial" w:eastAsia="Arial" w:cs="Arial"/>
      <w:b/>
      <w:bCs/>
      <w:sz w:val="24"/>
      <w:szCs w:val="24"/>
    </w:rPr>
  </w:style>
  <w:style w:type="character" w:styleId="709">
    <w:name w:val="Heading 6 Char"/>
    <w:basedOn w:val="880"/>
    <w:link w:val="879"/>
    <w:uiPriority w:val="9"/>
    <w:rPr>
      <w:rFonts w:ascii="Arial" w:hAnsi="Arial" w:eastAsia="Arial" w:cs="Arial"/>
      <w:b/>
      <w:bCs/>
      <w:sz w:val="22"/>
      <w:szCs w:val="22"/>
    </w:rPr>
  </w:style>
  <w:style w:type="paragraph" w:styleId="710">
    <w:name w:val="Heading 7"/>
    <w:basedOn w:val="873"/>
    <w:next w:val="873"/>
    <w:link w:val="71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11">
    <w:name w:val="Heading 7 Char"/>
    <w:basedOn w:val="880"/>
    <w:link w:val="71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12">
    <w:name w:val="Heading 8"/>
    <w:basedOn w:val="873"/>
    <w:next w:val="873"/>
    <w:link w:val="71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3">
    <w:name w:val="Heading 8 Char"/>
    <w:basedOn w:val="880"/>
    <w:link w:val="712"/>
    <w:uiPriority w:val="9"/>
    <w:rPr>
      <w:rFonts w:ascii="Arial" w:hAnsi="Arial" w:eastAsia="Arial" w:cs="Arial"/>
      <w:i/>
      <w:iCs/>
      <w:sz w:val="22"/>
      <w:szCs w:val="22"/>
    </w:rPr>
  </w:style>
  <w:style w:type="paragraph" w:styleId="714">
    <w:name w:val="Heading 9"/>
    <w:basedOn w:val="873"/>
    <w:next w:val="873"/>
    <w:link w:val="71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5">
    <w:name w:val="Heading 9 Char"/>
    <w:basedOn w:val="880"/>
    <w:link w:val="714"/>
    <w:uiPriority w:val="9"/>
    <w:rPr>
      <w:rFonts w:ascii="Arial" w:hAnsi="Arial" w:eastAsia="Arial" w:cs="Arial"/>
      <w:i/>
      <w:iCs/>
      <w:sz w:val="21"/>
      <w:szCs w:val="21"/>
    </w:rPr>
  </w:style>
  <w:style w:type="paragraph" w:styleId="716">
    <w:name w:val="List Paragraph"/>
    <w:basedOn w:val="873"/>
    <w:uiPriority w:val="34"/>
    <w:qFormat/>
    <w:pPr>
      <w:contextualSpacing/>
      <w:ind w:left="720"/>
    </w:pPr>
  </w:style>
  <w:style w:type="paragraph" w:styleId="717">
    <w:name w:val="No Spacing"/>
    <w:uiPriority w:val="1"/>
    <w:qFormat/>
    <w:pPr>
      <w:spacing w:before="0" w:after="0" w:line="240" w:lineRule="auto"/>
    </w:pPr>
  </w:style>
  <w:style w:type="character" w:styleId="718">
    <w:name w:val="Title Char"/>
    <w:basedOn w:val="880"/>
    <w:link w:val="884"/>
    <w:uiPriority w:val="10"/>
    <w:rPr>
      <w:sz w:val="48"/>
      <w:szCs w:val="48"/>
    </w:rPr>
  </w:style>
  <w:style w:type="character" w:styleId="719">
    <w:name w:val="Subtitle Char"/>
    <w:basedOn w:val="880"/>
    <w:link w:val="893"/>
    <w:uiPriority w:val="11"/>
    <w:rPr>
      <w:sz w:val="24"/>
      <w:szCs w:val="24"/>
    </w:rPr>
  </w:style>
  <w:style w:type="paragraph" w:styleId="720">
    <w:name w:val="Quote"/>
    <w:basedOn w:val="873"/>
    <w:next w:val="873"/>
    <w:link w:val="721"/>
    <w:uiPriority w:val="29"/>
    <w:qFormat/>
    <w:pPr>
      <w:ind w:left="720" w:right="720"/>
    </w:pPr>
    <w:rPr>
      <w:i/>
    </w:rPr>
  </w:style>
  <w:style w:type="character" w:styleId="721">
    <w:name w:val="Quote Char"/>
    <w:link w:val="720"/>
    <w:uiPriority w:val="29"/>
    <w:rPr>
      <w:i/>
    </w:rPr>
  </w:style>
  <w:style w:type="paragraph" w:styleId="722">
    <w:name w:val="Intense Quote"/>
    <w:basedOn w:val="873"/>
    <w:next w:val="873"/>
    <w:link w:val="72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3">
    <w:name w:val="Intense Quote Char"/>
    <w:link w:val="722"/>
    <w:uiPriority w:val="30"/>
    <w:rPr>
      <w:i/>
    </w:rPr>
  </w:style>
  <w:style w:type="paragraph" w:styleId="724">
    <w:name w:val="Header"/>
    <w:basedOn w:val="873"/>
    <w:link w:val="72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5">
    <w:name w:val="Header Char"/>
    <w:basedOn w:val="880"/>
    <w:link w:val="724"/>
    <w:uiPriority w:val="99"/>
  </w:style>
  <w:style w:type="paragraph" w:styleId="726">
    <w:name w:val="Footer"/>
    <w:basedOn w:val="873"/>
    <w:link w:val="72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7">
    <w:name w:val="Footer Char"/>
    <w:basedOn w:val="880"/>
    <w:link w:val="726"/>
    <w:uiPriority w:val="99"/>
  </w:style>
  <w:style w:type="paragraph" w:styleId="728">
    <w:name w:val="Caption"/>
    <w:basedOn w:val="873"/>
    <w:next w:val="87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9">
    <w:name w:val="Caption Char"/>
    <w:basedOn w:val="728"/>
    <w:link w:val="726"/>
    <w:uiPriority w:val="99"/>
  </w:style>
  <w:style w:type="table" w:styleId="730">
    <w:name w:val="Table Grid"/>
    <w:basedOn w:val="88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1">
    <w:name w:val="Table Grid Light"/>
    <w:basedOn w:val="88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2">
    <w:name w:val="Plain Table 1"/>
    <w:basedOn w:val="88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3">
    <w:name w:val="Plain Table 2"/>
    <w:basedOn w:val="88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4">
    <w:name w:val="Plain Table 3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5">
    <w:name w:val="Plain Table 4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Plain Table 5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7">
    <w:name w:val="Grid Table 1 Light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Grid Table 1 Light - Accent 1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Grid Table 1 Light - Accent 2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Grid Table 1 Light - Accent 3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Grid Table 1 Light - Accent 4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Grid Table 1 Light - Accent 5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Grid Table 1 Light - Accent 6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Grid Table 2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2 - Accent 1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2 - Accent 2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2 - Accent 3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2 - Accent 4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2 - Accent 5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2 - Accent 6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3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3 - Accent 1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3 - Accent 2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3 - Accent 3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3 - Accent 4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3 - Accent 5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3 - Accent 6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4"/>
    <w:basedOn w:val="88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9">
    <w:name w:val="Grid Table 4 - Accent 1"/>
    <w:basedOn w:val="88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0">
    <w:name w:val="Grid Table 4 - Accent 2"/>
    <w:basedOn w:val="88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61">
    <w:name w:val="Grid Table 4 - Accent 3"/>
    <w:basedOn w:val="88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62">
    <w:name w:val="Grid Table 4 - Accent 4"/>
    <w:basedOn w:val="88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3">
    <w:name w:val="Grid Table 4 - Accent 5"/>
    <w:basedOn w:val="88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4">
    <w:name w:val="Grid Table 4 - Accent 6"/>
    <w:basedOn w:val="88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5">
    <w:name w:val="Grid Table 5 Dark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6">
    <w:name w:val="Grid Table 5 Dark- Accent 1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767">
    <w:name w:val="Grid Table 5 Dark - Accent 2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68">
    <w:name w:val="Grid Table 5 Dark - Accent 3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69">
    <w:name w:val="Grid Table 5 Dark- Accent 4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70">
    <w:name w:val="Grid Table 5 Dark - Accent 5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771">
    <w:name w:val="Grid Table 5 Dark - Accent 6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72">
    <w:name w:val="Grid Table 6 Colorful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73">
    <w:name w:val="Grid Table 6 Colorful - Accent 1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74">
    <w:name w:val="Grid Table 6 Colorful - Accent 2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5">
    <w:name w:val="Grid Table 6 Colorful - Accent 3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6">
    <w:name w:val="Grid Table 6 Colorful - Accent 4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7">
    <w:name w:val="Grid Table 6 Colorful - Accent 5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8">
    <w:name w:val="Grid Table 6 Colorful - Accent 6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9">
    <w:name w:val="Grid Table 7 Colorful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7 Colorful - Accent 1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7 Colorful - Accent 2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7 Colorful - Accent 3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7 Colorful - Accent 4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7 Colorful - Accent 5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7 Colorful - Accent 6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List Table 1 Light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List Table 1 Light - Accent 1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1 Light - Accent 2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1 Light - Accent 3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1 Light - Accent 4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List Table 1 Light - Accent 5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List Table 1 Light - Accent 6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List Table 2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4">
    <w:name w:val="List Table 2 - Accent 1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5">
    <w:name w:val="List Table 2 - Accent 2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6">
    <w:name w:val="List Table 2 - Accent 3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7">
    <w:name w:val="List Table 2 - Accent 4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8">
    <w:name w:val="List Table 2 - Accent 5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9">
    <w:name w:val="List Table 2 - Accent 6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00">
    <w:name w:val="List Table 3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3 - Accent 1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3 - Accent 2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3 - Accent 3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3 - Accent 4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3 - Accent 5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3 - Accent 6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4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4 - Accent 1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4 - Accent 2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4 - Accent 3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4 - Accent 4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4 - Accent 5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4 - Accent 6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5 Dark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5">
    <w:name w:val="List Table 5 Dark - Accent 1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6">
    <w:name w:val="List Table 5 Dark - Accent 2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7">
    <w:name w:val="List Table 5 Dark - Accent 3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8">
    <w:name w:val="List Table 5 Dark - Accent 4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9">
    <w:name w:val="List Table 5 Dark - Accent 5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0">
    <w:name w:val="List Table 5 Dark - Accent 6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1">
    <w:name w:val="List Table 6 Colorful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22">
    <w:name w:val="List Table 6 Colorful - Accent 1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3">
    <w:name w:val="List Table 6 Colorful - Accent 2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4">
    <w:name w:val="List Table 6 Colorful - Accent 3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5">
    <w:name w:val="List Table 6 Colorful - Accent 4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6">
    <w:name w:val="List Table 6 Colorful - Accent 5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7">
    <w:name w:val="List Table 6 Colorful - Accent 6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8">
    <w:name w:val="List Table 7 Colorful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29">
    <w:name w:val="List Table 7 Colorful - Accent 1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830">
    <w:name w:val="List Table 7 Colorful - Accent 2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31">
    <w:name w:val="List Table 7 Colorful - Accent 3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32">
    <w:name w:val="List Table 7 Colorful - Accent 4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33">
    <w:name w:val="List Table 7 Colorful - Accent 5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834">
    <w:name w:val="List Table 7 Colorful - Accent 6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35">
    <w:name w:val="Lined - Accent"/>
    <w:basedOn w:val="8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6">
    <w:name w:val="Lined - Accent 1"/>
    <w:basedOn w:val="8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37">
    <w:name w:val="Lined - Accent 2"/>
    <w:basedOn w:val="8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38">
    <w:name w:val="Lined - Accent 3"/>
    <w:basedOn w:val="8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39">
    <w:name w:val="Lined - Accent 4"/>
    <w:basedOn w:val="8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40">
    <w:name w:val="Lined - Accent 5"/>
    <w:basedOn w:val="8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41">
    <w:name w:val="Lined - Accent 6"/>
    <w:basedOn w:val="8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42">
    <w:name w:val="Bordered &amp; Lined - Accent"/>
    <w:basedOn w:val="8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3">
    <w:name w:val="Bordered &amp; Lined - Accent 1"/>
    <w:basedOn w:val="8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44">
    <w:name w:val="Bordered &amp; Lined - Accent 2"/>
    <w:basedOn w:val="8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45">
    <w:name w:val="Bordered &amp; Lined - Accent 3"/>
    <w:basedOn w:val="8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46">
    <w:name w:val="Bordered &amp; Lined - Accent 4"/>
    <w:basedOn w:val="8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47">
    <w:name w:val="Bordered &amp; Lined - Accent 5"/>
    <w:basedOn w:val="8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48">
    <w:name w:val="Bordered &amp; Lined - Accent 6"/>
    <w:basedOn w:val="8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49">
    <w:name w:val="Bordered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50">
    <w:name w:val="Bordered - Accent 1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51">
    <w:name w:val="Bordered - Accent 2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52">
    <w:name w:val="Bordered - Accent 3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3">
    <w:name w:val="Bordered - Accent 4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4">
    <w:name w:val="Bordered - Accent 5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5">
    <w:name w:val="Bordered - Accent 6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56">
    <w:name w:val="footnote text"/>
    <w:basedOn w:val="873"/>
    <w:link w:val="857"/>
    <w:uiPriority w:val="99"/>
    <w:semiHidden/>
    <w:unhideWhenUsed/>
    <w:pPr>
      <w:spacing w:after="40" w:line="240" w:lineRule="auto"/>
    </w:pPr>
    <w:rPr>
      <w:sz w:val="18"/>
    </w:rPr>
  </w:style>
  <w:style w:type="character" w:styleId="857">
    <w:name w:val="Footnote Text Char"/>
    <w:link w:val="856"/>
    <w:uiPriority w:val="99"/>
    <w:rPr>
      <w:sz w:val="18"/>
    </w:rPr>
  </w:style>
  <w:style w:type="character" w:styleId="858">
    <w:name w:val="footnote reference"/>
    <w:basedOn w:val="880"/>
    <w:uiPriority w:val="99"/>
    <w:unhideWhenUsed/>
    <w:rPr>
      <w:vertAlign w:val="superscript"/>
    </w:rPr>
  </w:style>
  <w:style w:type="paragraph" w:styleId="859">
    <w:name w:val="endnote text"/>
    <w:basedOn w:val="873"/>
    <w:link w:val="860"/>
    <w:uiPriority w:val="99"/>
    <w:semiHidden/>
    <w:unhideWhenUsed/>
    <w:pPr>
      <w:spacing w:after="0" w:line="240" w:lineRule="auto"/>
    </w:pPr>
    <w:rPr>
      <w:sz w:val="20"/>
    </w:rPr>
  </w:style>
  <w:style w:type="character" w:styleId="860">
    <w:name w:val="Endnote Text Char"/>
    <w:link w:val="859"/>
    <w:uiPriority w:val="99"/>
    <w:rPr>
      <w:sz w:val="20"/>
    </w:rPr>
  </w:style>
  <w:style w:type="character" w:styleId="861">
    <w:name w:val="endnote reference"/>
    <w:basedOn w:val="880"/>
    <w:uiPriority w:val="99"/>
    <w:semiHidden/>
    <w:unhideWhenUsed/>
    <w:rPr>
      <w:vertAlign w:val="superscript"/>
    </w:rPr>
  </w:style>
  <w:style w:type="paragraph" w:styleId="862">
    <w:name w:val="toc 1"/>
    <w:basedOn w:val="873"/>
    <w:next w:val="873"/>
    <w:uiPriority w:val="39"/>
    <w:unhideWhenUsed/>
    <w:pPr>
      <w:ind w:left="0" w:right="0" w:firstLine="0"/>
      <w:spacing w:after="57"/>
    </w:pPr>
  </w:style>
  <w:style w:type="paragraph" w:styleId="863">
    <w:name w:val="toc 2"/>
    <w:basedOn w:val="873"/>
    <w:next w:val="873"/>
    <w:uiPriority w:val="39"/>
    <w:unhideWhenUsed/>
    <w:pPr>
      <w:ind w:left="283" w:right="0" w:firstLine="0"/>
      <w:spacing w:after="57"/>
    </w:pPr>
  </w:style>
  <w:style w:type="paragraph" w:styleId="864">
    <w:name w:val="toc 3"/>
    <w:basedOn w:val="873"/>
    <w:next w:val="873"/>
    <w:uiPriority w:val="39"/>
    <w:unhideWhenUsed/>
    <w:pPr>
      <w:ind w:left="567" w:right="0" w:firstLine="0"/>
      <w:spacing w:after="57"/>
    </w:pPr>
  </w:style>
  <w:style w:type="paragraph" w:styleId="865">
    <w:name w:val="toc 4"/>
    <w:basedOn w:val="873"/>
    <w:next w:val="873"/>
    <w:uiPriority w:val="39"/>
    <w:unhideWhenUsed/>
    <w:pPr>
      <w:ind w:left="850" w:right="0" w:firstLine="0"/>
      <w:spacing w:after="57"/>
    </w:pPr>
  </w:style>
  <w:style w:type="paragraph" w:styleId="866">
    <w:name w:val="toc 5"/>
    <w:basedOn w:val="873"/>
    <w:next w:val="873"/>
    <w:uiPriority w:val="39"/>
    <w:unhideWhenUsed/>
    <w:pPr>
      <w:ind w:left="1134" w:right="0" w:firstLine="0"/>
      <w:spacing w:after="57"/>
    </w:pPr>
  </w:style>
  <w:style w:type="paragraph" w:styleId="867">
    <w:name w:val="toc 6"/>
    <w:basedOn w:val="873"/>
    <w:next w:val="873"/>
    <w:uiPriority w:val="39"/>
    <w:unhideWhenUsed/>
    <w:pPr>
      <w:ind w:left="1417" w:right="0" w:firstLine="0"/>
      <w:spacing w:after="57"/>
    </w:pPr>
  </w:style>
  <w:style w:type="paragraph" w:styleId="868">
    <w:name w:val="toc 7"/>
    <w:basedOn w:val="873"/>
    <w:next w:val="873"/>
    <w:uiPriority w:val="39"/>
    <w:unhideWhenUsed/>
    <w:pPr>
      <w:ind w:left="1701" w:right="0" w:firstLine="0"/>
      <w:spacing w:after="57"/>
    </w:pPr>
  </w:style>
  <w:style w:type="paragraph" w:styleId="869">
    <w:name w:val="toc 8"/>
    <w:basedOn w:val="873"/>
    <w:next w:val="873"/>
    <w:uiPriority w:val="39"/>
    <w:unhideWhenUsed/>
    <w:pPr>
      <w:ind w:left="1984" w:right="0" w:firstLine="0"/>
      <w:spacing w:after="57"/>
    </w:pPr>
  </w:style>
  <w:style w:type="paragraph" w:styleId="870">
    <w:name w:val="toc 9"/>
    <w:basedOn w:val="873"/>
    <w:next w:val="873"/>
    <w:uiPriority w:val="39"/>
    <w:unhideWhenUsed/>
    <w:pPr>
      <w:ind w:left="2268" w:right="0" w:firstLine="0"/>
      <w:spacing w:after="57"/>
    </w:pPr>
  </w:style>
  <w:style w:type="paragraph" w:styleId="871">
    <w:name w:val="TOC Heading"/>
    <w:uiPriority w:val="39"/>
    <w:unhideWhenUsed/>
  </w:style>
  <w:style w:type="paragraph" w:styleId="872">
    <w:name w:val="table of figures"/>
    <w:basedOn w:val="873"/>
    <w:next w:val="873"/>
    <w:uiPriority w:val="99"/>
    <w:unhideWhenUsed/>
    <w:pPr>
      <w:spacing w:after="0" w:afterAutospacing="0"/>
    </w:pPr>
  </w:style>
  <w:style w:type="paragraph" w:styleId="873" w:default="1">
    <w:name w:val="Normal"/>
    <w:qFormat/>
    <w:rPr>
      <w:rFonts w:cs="Arial Unicode MS"/>
      <w:color w:val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874">
    <w:name w:val="Heading 1"/>
    <w:next w:val="873"/>
    <w:uiPriority w:val="9"/>
    <w:qFormat/>
    <w:pPr>
      <w:keepLines/>
      <w:keepNext/>
      <w:spacing w:before="480" w:after="120"/>
      <w:outlineLvl w:val="0"/>
    </w:pPr>
    <w:rPr>
      <w:rFonts w:cs="Arial Unicode MS"/>
      <w:b/>
      <w:bCs/>
      <w:color w:val="000000"/>
      <w:sz w:val="48"/>
      <w:szCs w:val="48"/>
    </w:rPr>
  </w:style>
  <w:style w:type="paragraph" w:styleId="875">
    <w:name w:val="Heading 2"/>
    <w:basedOn w:val="873"/>
    <w:next w:val="873"/>
    <w:uiPriority w:val="9"/>
    <w:semiHidden/>
    <w:unhideWhenUsed/>
    <w:qFormat/>
    <w:pPr>
      <w:keepLines/>
      <w:keepNext/>
      <w:spacing w:before="360" w:after="80"/>
      <w:outlineLvl w:val="1"/>
    </w:pPr>
    <w:rPr>
      <w:b/>
      <w:sz w:val="36"/>
      <w:szCs w:val="36"/>
    </w:rPr>
  </w:style>
  <w:style w:type="paragraph" w:styleId="876">
    <w:name w:val="Heading 3"/>
    <w:basedOn w:val="873"/>
    <w:next w:val="873"/>
    <w:uiPriority w:val="9"/>
    <w:semiHidden/>
    <w:unhideWhenUsed/>
    <w:qFormat/>
    <w:pPr>
      <w:keepLines/>
      <w:keepNext/>
      <w:spacing w:before="280" w:after="80"/>
      <w:outlineLvl w:val="2"/>
    </w:pPr>
    <w:rPr>
      <w:b/>
      <w:sz w:val="28"/>
      <w:szCs w:val="28"/>
    </w:rPr>
  </w:style>
  <w:style w:type="paragraph" w:styleId="877">
    <w:name w:val="Heading 4"/>
    <w:basedOn w:val="873"/>
    <w:next w:val="873"/>
    <w:uiPriority w:val="9"/>
    <w:semiHidden/>
    <w:unhideWhenUsed/>
    <w:qFormat/>
    <w:pPr>
      <w:keepLines/>
      <w:keepNext/>
      <w:spacing w:before="240" w:after="40"/>
      <w:outlineLvl w:val="3"/>
    </w:pPr>
    <w:rPr>
      <w:b/>
    </w:rPr>
  </w:style>
  <w:style w:type="paragraph" w:styleId="878">
    <w:name w:val="Heading 5"/>
    <w:basedOn w:val="873"/>
    <w:next w:val="873"/>
    <w:uiPriority w:val="9"/>
    <w:semiHidden/>
    <w:unhideWhenUsed/>
    <w:qFormat/>
    <w:pPr>
      <w:keepLines/>
      <w:keepNext/>
      <w:spacing w:before="220" w:after="40"/>
      <w:outlineLvl w:val="4"/>
    </w:pPr>
    <w:rPr>
      <w:b/>
      <w:sz w:val="22"/>
      <w:szCs w:val="22"/>
    </w:rPr>
  </w:style>
  <w:style w:type="paragraph" w:styleId="879">
    <w:name w:val="Heading 6"/>
    <w:basedOn w:val="873"/>
    <w:next w:val="873"/>
    <w:uiPriority w:val="9"/>
    <w:semiHidden/>
    <w:unhideWhenUsed/>
    <w:qFormat/>
    <w:pPr>
      <w:keepLines/>
      <w:keepNext/>
      <w:spacing w:before="200" w:after="40"/>
      <w:outlineLvl w:val="5"/>
    </w:pPr>
    <w:rPr>
      <w:b/>
      <w:sz w:val="20"/>
      <w:szCs w:val="20"/>
    </w:rPr>
  </w:style>
  <w:style w:type="character" w:styleId="880" w:default="1">
    <w:name w:val="Default Paragraph Font"/>
    <w:uiPriority w:val="1"/>
    <w:semiHidden/>
    <w:unhideWhenUsed/>
  </w:style>
  <w:style w:type="table" w:styleId="88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82" w:default="1">
    <w:name w:val="No List"/>
    <w:uiPriority w:val="99"/>
    <w:semiHidden/>
    <w:unhideWhenUsed/>
  </w:style>
  <w:style w:type="table" w:styleId="883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884">
    <w:name w:val="Title"/>
    <w:basedOn w:val="873"/>
    <w:next w:val="873"/>
    <w:uiPriority w:val="10"/>
    <w:qFormat/>
    <w:pPr>
      <w:keepLines/>
      <w:keepNext/>
      <w:spacing w:before="480" w:after="120"/>
    </w:pPr>
    <w:rPr>
      <w:b/>
      <w:sz w:val="72"/>
      <w:szCs w:val="72"/>
    </w:rPr>
  </w:style>
  <w:style w:type="character" w:styleId="885">
    <w:name w:val="Hyperlink"/>
    <w:rPr>
      <w:u w:val="single"/>
    </w:rPr>
  </w:style>
  <w:style w:type="table" w:styleId="886" w:customStyle="1">
    <w:name w:val="Table Normal"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paragraph" w:styleId="887" w:customStyle="1">
    <w:name w:val="Колонтитулы"/>
    <w:pPr>
      <w:tabs>
        <w:tab w:val="right" w:pos="9020" w:leader="none"/>
      </w:tabs>
    </w:pPr>
    <w:rPr>
      <w:rFonts w:ascii="Helvetica Neue" w:hAnsi="Helvetica Neue" w:cs="Arial Unicode MS"/>
      <w:color w:val="000000"/>
      <w14:textOutline w14:w="0" w14:cap="flat" w14:cmpd="sng" w14:algn="ctr">
        <w14:noFill/>
        <w14:prstDash w14:val="solid"/>
        <w14:bevel/>
      </w14:textOutline>
    </w:rPr>
  </w:style>
  <w:style w:type="character" w:styleId="888" w:customStyle="1">
    <w:name w:val="Нет"/>
  </w:style>
  <w:style w:type="character" w:styleId="889" w:customStyle="1">
    <w:name w:val="Hyperlink.0"/>
    <w:basedOn w:val="888"/>
    <w:rPr>
      <w:rFonts w:ascii="Times New Roman" w:hAnsi="Times New Roman" w:eastAsia="Times New Roman" w:cs="Times New Roman"/>
      <w:sz w:val="24"/>
      <w:szCs w:val="24"/>
      <w:u w:val="single"/>
    </w:rPr>
  </w:style>
  <w:style w:type="character" w:styleId="890" w:customStyle="1">
    <w:name w:val="Hyperlink.1"/>
    <w:basedOn w:val="888"/>
    <w:rPr>
      <w:rFonts w:ascii="Times New Roman" w:hAnsi="Times New Roman" w:eastAsia="Times New Roman" w:cs="Times New Roman"/>
      <w:color w:val="0000ff"/>
      <w:sz w:val="20"/>
      <w:szCs w:val="20"/>
      <w:u w:val="single"/>
      <w:lang w:val="ru-RU"/>
    </w:rPr>
  </w:style>
  <w:style w:type="character" w:styleId="891" w:customStyle="1">
    <w:name w:val="Hyperlink.2"/>
    <w:basedOn w:val="888"/>
    <w:rPr>
      <w:rFonts w:ascii="Times New Roman" w:hAnsi="Times New Roman" w:eastAsia="Times New Roman" w:cs="Times New Roman"/>
      <w:sz w:val="20"/>
      <w:szCs w:val="20"/>
      <w:u w:val="single"/>
      <w:lang w:val="ru-RU"/>
    </w:rPr>
  </w:style>
  <w:style w:type="character" w:styleId="892" w:customStyle="1">
    <w:name w:val="Нет A"/>
    <w:rPr>
      <w:lang w:val="ru-RU"/>
    </w:rPr>
  </w:style>
  <w:style w:type="paragraph" w:styleId="893">
    <w:name w:val="Subtitle"/>
    <w:basedOn w:val="873"/>
    <w:next w:val="873"/>
    <w:uiPriority w:val="11"/>
    <w:qFormat/>
    <w:pPr>
      <w:keepLines/>
      <w:keepNext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894" w:customStyle="1">
    <w:name w:val="StGen0"/>
    <w:basedOn w:val="886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Relationship Id="rId11" Type="http://schemas.openxmlformats.org/officeDocument/2006/relationships/hyperlink" Target="https://abilympics-russia.ru" TargetMode="External"/><Relationship Id="rId12" Type="http://schemas.openxmlformats.org/officeDocument/2006/relationships/hyperlink" Target="https://rsv.ru" TargetMode="External"/><Relationship Id="rId13" Type="http://schemas.openxmlformats.org/officeDocument/2006/relationships/hyperlink" Target="https://nationalpriority.ru" TargetMode="External"/><Relationship Id="rId14" Type="http://schemas.openxmlformats.org/officeDocument/2006/relationships/hyperlink" Target="mailto:alena.Bahroma@gmail.com" TargetMode="External"/><Relationship Id="rId15" Type="http://schemas.openxmlformats.org/officeDocument/2006/relationships/hyperlink" Target="mailto:nina.maslova@rsv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>
        <a:prstGeom prst="rect">
          <a:avLst/>
        </a:prstGeom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spDef>
    <a:lnDef>
      <a:spPr bwMode="auto">
        <a:prstGeom prst="rect">
          <a:avLst/>
        </a:prstGeom>
        <a:noFill/>
        <a:ln w="25400" cap="flat">
          <a:solidFill>
            <a:schemeClr val="accent1"/>
          </a:solidFill>
          <a:prstDash val="solid"/>
          <a:round/>
        </a:ln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lnDef>
    <a:txDef>
      <a:spPr bwMode="auto">
        <a:prstGeom prst="rect">
          <a:avLst/>
        </a:prstGeom>
        <a:noFill/>
        <a:ln w="12700" cap="flat">
          <a:noFill/>
          <a:miter lim="400000"/>
        </a:ln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txDef>
  </a:objectDefaults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zzYeG0Uhg10mPUYDl2XOcTrvBdQ==">AMUW2mVJN9OHT4QoPJmoUvhMpt7ZDNqVQ+5M25spqPAMElTTfMl0qN8874X5OD3pVUqaw/JMdBi0ZZq7MJ3ZM9ay14AWWVCUHms+6DVgqSXEurzF9XmFhIU=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R7-Office/7.2.0.134</Application>
  <Company>HP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P R</cp:lastModifiedBy>
  <cp:revision>11</cp:revision>
  <dcterms:created xsi:type="dcterms:W3CDTF">2022-11-22T08:49:00Z</dcterms:created>
  <dcterms:modified xsi:type="dcterms:W3CDTF">2022-11-28T10:35:39Z</dcterms:modified>
</cp:coreProperties>
</file>