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20" w:after="12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АНОНС</w:t>
      </w:r>
      <w:r/>
    </w:p>
    <w:p>
      <w:pPr>
        <w:spacing w:before="120" w:after="120" w:line="27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28.11.2022</w:t>
      </w:r>
      <w:r/>
    </w:p>
    <w:p>
      <w:pPr>
        <w:jc w:val="center"/>
        <w:spacing w:before="120" w:after="120" w:line="276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Подведение итогов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Национального чемпионата «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Абилимпикс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в Республике Калмыкия</w:t>
      </w:r>
      <w:r/>
    </w:p>
    <w:p>
      <w:pPr>
        <w:pStyle w:val="874"/>
        <w:jc w:val="both"/>
        <w:keepLines w:val="0"/>
        <w:keepNext w:val="0"/>
        <w:spacing w:before="12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Накануне Международного дня инвалидов,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декабря, 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Элисте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состоится церемония награждения победителей Национального чемпионата по профессиональному мастерству среди инвалидов и лиц с ограниченными возможностями здоровья </w:t>
      </w:r>
      <w:hyperlink r:id="rId11" w:tooltip="https://abilympics-russia.ru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</w:rPr>
          <w:t xml:space="preserve">«Абилимпикс»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2022 года президентской платформы </w:t>
      </w:r>
      <w:hyperlink r:id="rId12" w:tooltip="https://rsv.ru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</w:rPr>
          <w:t xml:space="preserve">«Россия – страна возможностей»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, реализуемого в рамках </w:t>
      </w:r>
      <w:hyperlink r:id="rId13" w:tooltip="https://nationalpriority.ru" w:history="1">
        <w:r>
          <w:rPr>
            <w:rFonts w:ascii="Times New Roman" w:hAnsi="Times New Roman" w:eastAsia="Times New Roman" w:cs="Times New Roman"/>
            <w:sz w:val="24"/>
            <w:szCs w:val="24"/>
            <w:u w:val="single"/>
          </w:rPr>
          <w:t xml:space="preserve">Национального проекта «Образование»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. Мероприятие состоится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на площадке ЦРД 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Элистинском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политехническом колледже имени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Эльвартынова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Ильи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Нимановича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 участием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министра образования и науки Республики Калмыкия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Булган Ангировой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заместителя министра социального развития, труда и занятости Республики Калмыкия Ольги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Маминовой</w:t>
      </w:r>
      <w:r>
        <w:rPr>
          <w:rFonts w:ascii="Times New Roman" w:hAnsi="Times New Roman" w:cs="Times New Roman"/>
          <w:sz w:val="24"/>
          <w:szCs w:val="24"/>
        </w:rPr>
        <w:t xml:space="preserve">, в так же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Координационный совет партнёров «</w:t>
      </w:r>
      <w:r>
        <w:rPr>
          <w:rFonts w:ascii="Times New Roman" w:hAnsi="Times New Roman" w:cs="Times New Roman"/>
          <w:sz w:val="24"/>
          <w:szCs w:val="24"/>
        </w:rPr>
        <w:t xml:space="preserve">Абилимпикс</w:t>
      </w:r>
      <w:r>
        <w:rPr>
          <w:rFonts w:ascii="Times New Roman" w:hAnsi="Times New Roman" w:cs="Times New Roman"/>
          <w:sz w:val="24"/>
          <w:szCs w:val="24"/>
        </w:rPr>
        <w:t xml:space="preserve">»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2022 года, члены которого оказывали поддержку участникам чемпионата в течение всего периода.</w:t>
      </w:r>
      <w:bookmarkStart w:id="0" w:name="_GoBack"/>
      <w:r>
        <w:rPr>
          <w:sz w:val="24"/>
          <w:szCs w:val="24"/>
        </w:rPr>
      </w:r>
      <w:bookmarkEnd w:id="0"/>
      <w:r>
        <w:rPr>
          <w:rFonts w:ascii="Times New Roman" w:hAnsi="Times New Roman" w:eastAsia="Times New Roman" w:cs="Times New Roman"/>
          <w:sz w:val="24"/>
          <w:szCs w:val="24"/>
        </w:rPr>
      </w:r>
      <w:r/>
    </w:p>
    <w:p>
      <w:pPr>
        <w:pStyle w:val="874"/>
        <w:jc w:val="both"/>
        <w:keepLines w:val="0"/>
        <w:keepNext w:val="0"/>
        <w:spacing w:before="12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 декабря, в единый день награждения победителей Национального чемпионата «Абилимпикс», будут вручены сертификаты в рамках поручения Правительства Российской Федерации. Торжественные мероприя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тия пройдут в регионах в домах правительства, министерствах или на площадках центров развития движения «Абилимпикс». В них примут участие почетные гости - руководители регионов или их заместители, министры в сфере образования, труда и социальной политики,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общественных организаций инвалидов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Кроме победителей Национального чемпионата «Абилимпикс» на награждении будут присутствовать их родители, наставники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</w:t>
      </w:r>
      <w:r>
        <w:rPr/>
      </w:r>
      <w:r>
        <w:rPr/>
      </w:r>
    </w:p>
    <w:p>
      <w:pPr>
        <w:pStyle w:val="874"/>
        <w:jc w:val="both"/>
        <w:keepLines w:val="0"/>
        <w:keepNext w:val="0"/>
        <w:spacing w:before="12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 всей стране сертификаты получат 695 победителей по 40 основным компетенциям. Из них 243 участника получат сертификат за первое место, 235 - за второе и 217 конкурсантов - за третье место.</w:t>
      </w:r>
      <w:r>
        <w:rPr/>
      </w:r>
      <w:r>
        <w:rPr/>
      </w:r>
    </w:p>
    <w:p>
      <w:pPr>
        <w:ind w:left="0" w:right="0" w:firstLine="0"/>
        <w:jc w:val="both"/>
        <w:spacing w:before="0" w:after="0" w:line="68" w:lineRule="atLeast"/>
        <w:rPr>
          <w:rFonts w:ascii="Times New Roman" w:hAnsi="Times New Roman" w:eastAsia="Times New Roman" w:cs="Times New Roman"/>
          <w:color w:val="000000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Республики Калмыкия </w:t>
      </w:r>
      <w:r>
        <w:rPr>
          <w:rFonts w:ascii="Times New Roman" w:hAnsi="Times New Roman" w:cs="Times New Roman"/>
          <w:sz w:val="24"/>
          <w:szCs w:val="24"/>
        </w:rPr>
        <w:t xml:space="preserve">в числе победителей Национального чемпионата «</w:t>
      </w:r>
      <w:r>
        <w:rPr>
          <w:rFonts w:ascii="Times New Roman" w:hAnsi="Times New Roman" w:cs="Times New Roman"/>
          <w:sz w:val="24"/>
          <w:szCs w:val="24"/>
        </w:rPr>
        <w:t xml:space="preserve">Абилимпикс</w:t>
      </w:r>
      <w:r>
        <w:rPr>
          <w:rFonts w:ascii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 по которым прошли в очно-дистанционном формате с 19 по 29 сентября на площадке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 человек, </w:t>
      </w:r>
      <w:r>
        <w:rPr>
          <w:rFonts w:ascii="Times New Roman" w:hAnsi="Times New Roman" w:cs="Times New Roman"/>
          <w:sz w:val="24"/>
          <w:szCs w:val="24"/>
        </w:rPr>
        <w:t xml:space="preserve">Байрта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Кичикова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 xml:space="preserve">МКОУ «</w:t>
      </w:r>
      <w:r>
        <w:rPr>
          <w:rFonts w:ascii="Times New Roman" w:hAnsi="Times New Roman" w:cs="Times New Roman"/>
          <w:sz w:val="24"/>
          <w:szCs w:val="24"/>
        </w:rPr>
        <w:t xml:space="preserve">Яшкульская</w:t>
      </w:r>
      <w:r>
        <w:rPr>
          <w:rFonts w:ascii="Times New Roman" w:hAnsi="Times New Roman" w:cs="Times New Roman"/>
          <w:sz w:val="24"/>
          <w:szCs w:val="24"/>
        </w:rPr>
        <w:t xml:space="preserve"> многопрофильная гимназия имени </w:t>
      </w:r>
      <w:r>
        <w:rPr>
          <w:rFonts w:ascii="Times New Roman" w:hAnsi="Times New Roman" w:cs="Times New Roman"/>
          <w:sz w:val="24"/>
          <w:szCs w:val="24"/>
        </w:rPr>
        <w:t xml:space="preserve">Хаглышевой</w:t>
      </w:r>
      <w:r>
        <w:rPr>
          <w:rFonts w:ascii="Times New Roman" w:hAnsi="Times New Roman" w:cs="Times New Roman"/>
          <w:sz w:val="24"/>
          <w:szCs w:val="24"/>
        </w:rPr>
        <w:t xml:space="preserve"> Елизаветы </w:t>
      </w:r>
      <w:r>
        <w:rPr>
          <w:rFonts w:ascii="Times New Roman" w:hAnsi="Times New Roman" w:cs="Times New Roman"/>
          <w:sz w:val="24"/>
          <w:szCs w:val="24"/>
        </w:rPr>
        <w:t xml:space="preserve">Кюкеновны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занявшая 3 место в компетенции «Учитель начальных классов», категория «специалист».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</w:rPr>
      </w:r>
      <w:r/>
    </w:p>
    <w:p>
      <w:pPr>
        <w:ind w:left="0" w:right="0" w:firstLine="0"/>
        <w:jc w:val="both"/>
        <w:spacing w:before="0" w:after="0" w:line="68" w:lineRule="atLeast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Победители по дополнительным компетенциям Национального чемпионата «Абилимпикс» получат возможность стать участниками проекта «Больше, чем путешествие» платформы «Россия - страна возможностей».</w:t>
      </w:r>
      <w:r>
        <w:rPr>
          <w:sz w:val="24"/>
          <w:szCs w:val="24"/>
        </w:rPr>
      </w:r>
      <w:r/>
    </w:p>
    <w:p>
      <w:pPr>
        <w:jc w:val="both"/>
        <w:spacing w:before="120" w:after="120" w:line="27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В 2022 году Национальный чемпионат «Абилимпикс» проходил в двух форматах. В очно-дистанционном форм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ате на специально организованных площадках по месту проживания участников в 84 регионах страны в конце сентября прошли соревнования по 39 дополнительным компетенциям. В очном формате в Москве соревнования прошли по 40 основным компетенциям в конце октября.</w:t>
      </w:r>
      <w:r>
        <w:rPr>
          <w:sz w:val="24"/>
          <w:szCs w:val="24"/>
        </w:rPr>
      </w:r>
      <w:r/>
    </w:p>
    <w:p>
      <w:pPr>
        <w:jc w:val="both"/>
        <w:spacing w:before="120" w:after="120" w:line="276" w:lineRule="auto"/>
        <w:rPr>
          <w:sz w:val="24"/>
          <w:szCs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С 28 по 31 октября 2022 года Национальный чемпионат «Абилимпикс» проходил в выставочном центре «Гостиный двор» и на четырёх площадках образовательных организаций в Москве. В соревнованиях приняли участие 1077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конкурсантов из 78 регионов России в трех категориях: среди школьников, студентов и специалистов. На мероприятии прошла обширная деловая программа, на которой были продемонстрированы лучшие региональные практики по теме трудоустройства, прошло обсуждение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вопросов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 профессиональному самоопределению, занятости, трудоустройству людей с инвалидностью, а также Всероссийская конференция по инклюзивному образованию. Для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участников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состоялись выступления в стиле TED от инклюзивных мотиваторов и лидеров мнений, а также послов чемпионата и победителей конкурсов предыдущих лет. Всего мероприятия деловой программы посетили более 7500 человек.</w:t>
      </w:r>
      <w:r>
        <w:rPr>
          <w:sz w:val="24"/>
          <w:szCs w:val="24"/>
        </w:rPr>
      </w:r>
      <w:r/>
    </w:p>
    <w:p>
      <w:pPr>
        <w:ind w:left="0" w:right="120" w:firstLine="0"/>
        <w:spacing w:before="120" w:after="120"/>
        <w:rPr>
          <w:rFonts w:ascii="Abyssinica SIL" w:hAnsi="Abyssinica SIL" w:cs="Abyssinica SIL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u w:val="single"/>
        </w:rPr>
        <w:t xml:space="preserve">Медиаматериалы по ссылке: </w:t>
      </w:r>
      <w:r>
        <w:rPr>
          <w:rFonts w:ascii="Abyssinica SIL" w:hAnsi="Abyssinica SIL" w:eastAsia="Liberation Sans" w:cs="Abyssinica SIL"/>
          <w:color w:val="000000" w:themeColor="text1"/>
          <w:sz w:val="24"/>
          <w:highlight w:val="white"/>
          <w:u w:val="single"/>
        </w:rPr>
        <w:t xml:space="preserve">https://cloud.mail.ru/public/ZBB2/ipDWvHKMb</w:t>
      </w:r>
      <w:r>
        <w:rPr>
          <w:rFonts w:ascii="Abyssinica SIL" w:hAnsi="Abyssinica SIL" w:cs="Abyssinica SIL"/>
          <w:color w:val="000000" w:themeColor="text1"/>
          <w:sz w:val="24"/>
        </w:rPr>
      </w:r>
      <w:r/>
    </w:p>
    <w:p>
      <w:pPr>
        <w:spacing w:before="120" w:after="120" w:line="276" w:lineRule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Общие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медиаматериалы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 xml:space="preserve"> НЧА: https://disk.yandex.ru/d/nsmxJKmyg72G0A</w:t>
      </w:r>
      <w:r/>
    </w:p>
    <w:p>
      <w:pPr>
        <w:spacing w:before="120" w:after="120" w:line="276" w:lineRule="auto"/>
        <w:rPr>
          <w:rFonts w:ascii="Times New Roman" w:hAnsi="Times New Roman" w:eastAsia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u w:val="single"/>
        </w:rPr>
        <w:t xml:space="preserve">Информационная справка:</w:t>
      </w:r>
      <w:r>
        <w:rPr>
          <w:sz w:val="22"/>
          <w:szCs w:val="22"/>
        </w:rPr>
      </w:r>
      <w:r/>
    </w:p>
    <w:p>
      <w:pPr>
        <w:jc w:val="both"/>
        <w:spacing w:before="120" w:after="120" w:line="276" w:lineRule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Чемпионаты по профессиональному мастерству среди инвалидов и лиц с ОВЗ «Абилимпикс» являются частью президентской платформы «Россия – страна возможностей».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</w:t>
      </w:r>
      <w:r>
        <w:rPr>
          <w:rFonts w:ascii="Times New Roman" w:hAnsi="Times New Roman" w:eastAsia="Times New Roman" w:cs="Times New Roman"/>
          <w:sz w:val="22"/>
          <w:szCs w:val="22"/>
        </w:rPr>
        <w:t xml:space="preserve">азования, содействует их трудоустройству и социокультурной инклюзии в обществе. Оператором чемпионатного движения «Абилимпикс» в России является Национальный центр «Абилимпикс», созданный на базе ФГБОУ ДПО «Институт развития профессионального образования».</w:t>
      </w:r>
      <w:r>
        <w:rPr>
          <w:sz w:val="22"/>
          <w:szCs w:val="22"/>
        </w:rPr>
      </w:r>
      <w:r/>
    </w:p>
    <w:p>
      <w:pPr>
        <w:jc w:val="both"/>
        <w:spacing w:before="120" w:after="120" w:line="276" w:lineRule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 w:eastAsia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Автономная некоммерческая организация «Россия – страна возможностей»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была создана по инициативе Президента РФ Владимира Путина 22 мая 2018 года. Миссия платформы – создавать будуще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  <w:r>
        <w:rPr>
          <w:sz w:val="22"/>
          <w:szCs w:val="22"/>
        </w:rPr>
      </w:r>
      <w:r/>
    </w:p>
    <w:p>
      <w:pPr>
        <w:jc w:val="both"/>
        <w:spacing w:before="120" w:after="120" w:line="276" w:lineRule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 w:eastAsia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За 4 года работы платформы участник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ами её 26 проектов стали более 15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персонального наставника, который поможет отточить мастерство или развить лидерские качества.</w:t>
      </w:r>
      <w:r>
        <w:rPr>
          <w:sz w:val="22"/>
          <w:szCs w:val="22"/>
        </w:rPr>
      </w:r>
      <w:r/>
    </w:p>
    <w:p>
      <w:pPr>
        <w:jc w:val="both"/>
        <w:spacing w:before="120" w:after="120" w:line="276" w:lineRule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 w:eastAsia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АНО «Россия – страна возможностей»</w:t>
      </w:r>
      <w:r>
        <w:rPr>
          <w:rFonts w:ascii="Times New Roman" w:hAnsi="Times New Roman" w:eastAsia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развивает одноименную платформу, объединяющую 26 проектов: ко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нкурс управленцев «Лидеры России», 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всероссийский проект «Время карьеры», проект «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ТопБЛОГ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», проект «Культурный код», фестиваль «Российская студенческая весна», всероссийский конкурс «Мастера гостеприимства», «Цифровой прорыв.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Сезон: искусственный интеллект», всероссийский профессиональный конкурс «Флагманы образования», всероссийский конкурс «Лучший социальный проект года», чемпионаты по профессиональному мастерству среди инвалидов и лиц с ограниченными возможностями здоровья «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Абилимпикс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», конкурс «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Экософия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», Российская национальная премия «Студент года», движение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Ворлдскиллс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 Россия, благотворительный проект «Мечтай со мной», конкурс «Моя страна – моя Россия», международный инженерный чемпионат «CASE-IN», «Национальная технологическая олимпиада», платформа «Другое дело», Международный строительный чемпионат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проект «Начни игру», программа поощрительных поездок «Больше, чем путешествие», в т.ч. проект «Больше, чем работа» и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проект «Открываем Россию заново», а также конкурс «Пишем будущее» для школьников и студентов ДНР и ЛНР.</w:t>
      </w:r>
      <w:r>
        <w:rPr>
          <w:sz w:val="22"/>
          <w:szCs w:val="22"/>
        </w:rPr>
      </w:r>
      <w:r/>
    </w:p>
    <w:p>
      <w:pPr>
        <w:jc w:val="both"/>
        <w:spacing w:before="120" w:after="120" w:line="276" w:lineRule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 w:eastAsia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В рамках деятельности АНО «Россия – страна возможностей» в феврале 2019 года создан образовательный центр – Мастерская управления «Сенеж». Обучение в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  <w:r>
        <w:rPr>
          <w:sz w:val="22"/>
          <w:szCs w:val="22"/>
        </w:rPr>
      </w:r>
      <w:r/>
    </w:p>
    <w:p>
      <w:pPr>
        <w:jc w:val="both"/>
        <w:spacing w:before="120" w:after="120" w:line="276" w:lineRule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 w:eastAsia="Times New Roman" w:cs="Times New Roman"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В рамках АНО «Р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оссия – страна возможностей» в августе 2020 года создан департамент оценки и методологии. Его задачами являются разработка и внедрение собственных инструментов оценки управленческих и деловых компетенций во все конкурсы и проекты платформы «Россия – страна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 возможностей» и партнеров, создание и поддержка центров компетенций в университетах, проведение оценки, организация обучения и подготовки кадров для деятельности центров компетенций. В вузах в 30 регионах страны создано более 60 центров оценки и развития 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надпрофессиональных</w:t>
      </w:r>
      <w:r>
        <w:rPr>
          <w:rFonts w:ascii="Times New Roman" w:hAnsi="Times New Roman" w:eastAsia="Times New Roman" w:cs="Times New Roman"/>
          <w:bCs/>
          <w:sz w:val="22"/>
          <w:szCs w:val="22"/>
        </w:rPr>
        <w:t xml:space="preserve"> компетенций студентов.</w:t>
      </w:r>
      <w:r>
        <w:rPr>
          <w:sz w:val="22"/>
          <w:szCs w:val="22"/>
        </w:rPr>
      </w:r>
      <w:r/>
    </w:p>
    <w:p>
      <w:pPr>
        <w:spacing w:before="120" w:after="120" w:line="276" w:lineRule="au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  <w:u w:val="single"/>
        </w:rPr>
        <w:t xml:space="preserve">Контактная информация: </w:t>
      </w:r>
      <w:r>
        <w:rPr>
          <w:sz w:val="22"/>
          <w:szCs w:val="22"/>
        </w:rPr>
      </w:r>
      <w:r/>
    </w:p>
    <w:tbl>
      <w:tblPr>
        <w:tblStyle w:val="894"/>
        <w:tblW w:w="9489" w:type="dxa"/>
        <w:tblInd w:w="2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2974"/>
        <w:gridCol w:w="3400"/>
      </w:tblGrid>
      <w:tr>
        <w:trPr>
          <w:trHeight w:val="226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115" w:type="dxa"/>
            <w:textDirection w:val="lrTb"/>
            <w:noWrap w:val="false"/>
          </w:tcPr>
          <w:p>
            <w:pPr>
              <w:spacing w:line="276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Руководитель Центра развития движения «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Абилимпикс</w:t>
            </w: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» Республики Калмыкия</w:t>
            </w:r>
            <w:r>
              <w:rPr>
                <w:sz w:val="22"/>
                <w:szCs w:val="22"/>
              </w:rPr>
            </w:r>
            <w:r/>
          </w:p>
          <w:p>
            <w:pPr>
              <w:spacing w:line="276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Галина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Васькина  </w:t>
            </w:r>
            <w:r>
              <w:rPr>
                <w:sz w:val="22"/>
                <w:szCs w:val="22"/>
              </w:rPr>
            </w:r>
            <w:r/>
          </w:p>
          <w:p>
            <w:pPr>
              <w:spacing w:line="276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+7(906) 437-03-75</w:t>
            </w:r>
            <w:r>
              <w:rPr>
                <w:sz w:val="22"/>
                <w:szCs w:val="22"/>
              </w:rPr>
            </w:r>
            <w:r/>
          </w:p>
          <w:p>
            <w:pPr>
              <w:spacing w:line="276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abilympics_kalmykia@mail.ru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2974" w:type="dxa"/>
            <w:textDirection w:val="lrTb"/>
            <w:noWrap w:val="false"/>
          </w:tcPr>
          <w:p>
            <w:pPr>
              <w:spacing w:line="276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Руководитель пресс-службы </w:t>
            </w:r>
            <w:r>
              <w:rPr>
                <w:sz w:val="22"/>
                <w:szCs w:val="22"/>
              </w:rPr>
            </w:r>
            <w:r/>
          </w:p>
          <w:p>
            <w:pPr>
              <w:spacing w:line="276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Национального Центра «Абилимпикс» </w:t>
            </w:r>
            <w:r>
              <w:rPr>
                <w:sz w:val="22"/>
                <w:szCs w:val="22"/>
              </w:rPr>
            </w:r>
            <w:r/>
          </w:p>
          <w:p>
            <w:pPr>
              <w:spacing w:line="276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Ал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ё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 Бахрома</w:t>
            </w:r>
            <w:r>
              <w:rPr>
                <w:sz w:val="22"/>
                <w:szCs w:val="22"/>
              </w:rPr>
            </w:r>
            <w:r/>
          </w:p>
          <w:p>
            <w:pPr>
              <w:spacing w:line="276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+ 7 (902) 659-58-88</w:t>
            </w:r>
            <w:r>
              <w:rPr>
                <w:sz w:val="22"/>
                <w:szCs w:val="22"/>
              </w:rPr>
            </w:r>
            <w:r/>
          </w:p>
          <w:p>
            <w:pPr>
              <w:spacing w:line="276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4" w:tooltip="mailto:alena.Bahroma@gmail.com" w:history="1"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</w:rPr>
                <w:t xml:space="preserve">alena.Bahroma@gmail.com</w:t>
              </w:r>
            </w:hyperlink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cW w:w="3400" w:type="dxa"/>
            <w:textDirection w:val="lrTb"/>
            <w:noWrap w:val="false"/>
          </w:tcPr>
          <w:p>
            <w:pPr>
              <w:jc w:val="both"/>
              <w:spacing w:before="120" w:after="12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sz w:val="22"/>
                <w:szCs w:val="22"/>
              </w:rPr>
              <w:t xml:space="preserve">Руководитель направления региональных коммуникаций АНО «Россия – страна возможностей»</w:t>
            </w:r>
            <w:r>
              <w:rPr>
                <w:sz w:val="22"/>
                <w:szCs w:val="22"/>
              </w:rPr>
            </w:r>
            <w:r/>
          </w:p>
          <w:p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Елена Барсегова</w:t>
            </w:r>
            <w:r>
              <w:rPr>
                <w:sz w:val="22"/>
                <w:szCs w:val="22"/>
              </w:rPr>
            </w:r>
            <w:r/>
          </w:p>
          <w:p>
            <w:pPr>
              <w:spacing w:before="120" w:after="12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+ 7 (926) 189-10-11</w:t>
            </w:r>
            <w:r>
              <w:rPr>
                <w:sz w:val="22"/>
                <w:szCs w:val="22"/>
              </w:rPr>
            </w:r>
            <w:r/>
          </w:p>
          <w:p>
            <w:pPr>
              <w:spacing w:before="120" w:after="120" w:line="276" w:lineRule="auto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hyperlink r:id="rId15" w:tooltip="mailto:nina.maslova@rsv.ru" w:history="1">
              <w:r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</w:rPr>
                <w:t xml:space="preserve">elena.barsegova@rsv.ru</w:t>
              </w:r>
            </w:hyperlink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 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ind w:left="116" w:hanging="116"/>
        <w:spacing w:before="120" w:after="120" w:line="276" w:lineRule="auto"/>
        <w:widowControl w:val="off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8989" w:leader="none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sz w:val="22"/>
          <w:szCs w:val="22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0" w:h="16840" w:orient="portrait"/>
      <w:pgMar w:top="1843" w:right="851" w:bottom="851" w:left="1560" w:header="709" w:footer="709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Georgia">
    <w:panose1 w:val="020206030504050203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Abyssinica SIL">
    <w:panose1 w:val="02000603020000020004"/>
  </w:font>
  <w:font w:name="helvetica neue">
    <w:panose1 w:val="05040102010807070707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right" w:pos="9020" w:leader="none"/>
      </w:tabs>
      <w:rPr>
        <w:rFonts w:ascii="Helvetica Neue" w:hAnsi="Helvetica Neue" w:eastAsia="Helvetica Neue" w:cs="Helvetica Neu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rFonts w:ascii="Helvetica Neue" w:hAnsi="Helvetica Neue" w:eastAsia="Helvetica Neue" w:cs="Helvetica Neu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677" w:leader="none"/>
        <w:tab w:val="right" w:pos="9355" w:leader="none"/>
      </w:tabs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1" locked="0" layoutInCell="1" allowOverlap="1">
              <wp:simplePos x="0" y="0"/>
              <wp:positionH relativeFrom="page">
                <wp:posOffset>5067636</wp:posOffset>
              </wp:positionH>
              <wp:positionV relativeFrom="page">
                <wp:posOffset>166766</wp:posOffset>
              </wp:positionV>
              <wp:extent cx="925095" cy="765857"/>
              <wp:effectExtent l="0" t="0" r="0" b="0"/>
              <wp:wrapNone/>
              <wp:docPr id="1" name="image3.png" descr="Изображение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 descr="Изображение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925095" cy="765857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page;margin-left:399.0pt;mso-position-horizontal:absolute;mso-position-vertical-relative:page;margin-top:13.1pt;mso-position-vertical:absolute;width:72.8pt;height:60.3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1" locked="0" layoutInCell="1" allowOverlap="1">
              <wp:simplePos x="0" y="0"/>
              <wp:positionH relativeFrom="page">
                <wp:posOffset>6404443</wp:posOffset>
              </wp:positionH>
              <wp:positionV relativeFrom="page">
                <wp:posOffset>161798</wp:posOffset>
              </wp:positionV>
              <wp:extent cx="574206" cy="926561"/>
              <wp:effectExtent l="0" t="0" r="0" b="0"/>
              <wp:wrapNone/>
              <wp:docPr id="2" name="image1.png" descr="Изображение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Изображение"/>
                      <pic:cNvPicPr/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74206" cy="926561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9264;o:allowoverlap:true;o:allowincell:true;mso-position-horizontal-relative:page;margin-left:504.3pt;mso-position-horizontal:absolute;mso-position-vertical-relative:page;margin-top:12.7pt;mso-position-vertical:absolute;width:45.2pt;height:73.0pt;mso-wrap-distance-left:0.0pt;mso-wrap-distance-top:0.0pt;mso-wrap-distance-right:0.0pt;mso-wrap-distance-bottom:0.0pt;">
              <v:path textboxrect="0,0,0,0"/>
              <v:imagedata r:id="rId2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60288" behindDoc="1" locked="0" layoutInCell="1" allowOverlap="1">
              <wp:simplePos x="0" y="0"/>
              <wp:positionH relativeFrom="page">
                <wp:posOffset>3342640</wp:posOffset>
              </wp:positionH>
              <wp:positionV relativeFrom="page">
                <wp:posOffset>408940</wp:posOffset>
              </wp:positionV>
              <wp:extent cx="1390015" cy="530225"/>
              <wp:effectExtent l="0" t="0" r="0" b="0"/>
              <wp:wrapNone/>
              <wp:docPr id="3" name="image2.png" descr="Рисунок 1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 descr="Рисунок 19"/>
                      <pic:cNvPicPr/>
                      <pic:nv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390015" cy="530225"/>
                      </a:xfrm>
                      <a:prstGeom prst="rect">
                        <a:avLst/>
                      </a:prstGeom>
                      <a:ln>
                        <a:miter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z-index:-251660288;o:allowoverlap:true;o:allowincell:true;mso-position-horizontal-relative:page;margin-left:263.2pt;mso-position-horizontal:absolute;mso-position-vertical-relative:page;margin-top:32.2pt;mso-position-vertical:absolute;width:109.4pt;height:41.8pt;mso-wrap-distance-left:0.0pt;mso-wrap-distance-top:0.0pt;mso-wrap-distance-right:0.0pt;mso-wrap-distance-bottom:0.0pt;">
              <v:path textboxrect="0,0,0,0"/>
              <v:imagedata r:id="rId3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Heading 1 Char"/>
    <w:basedOn w:val="880"/>
    <w:link w:val="874"/>
    <w:uiPriority w:val="9"/>
    <w:rPr>
      <w:rFonts w:ascii="Arial" w:hAnsi="Arial" w:eastAsia="Arial" w:cs="Arial"/>
      <w:sz w:val="40"/>
      <w:szCs w:val="40"/>
    </w:rPr>
  </w:style>
  <w:style w:type="character" w:styleId="705">
    <w:name w:val="Heading 2 Char"/>
    <w:basedOn w:val="880"/>
    <w:link w:val="875"/>
    <w:uiPriority w:val="9"/>
    <w:rPr>
      <w:rFonts w:ascii="Arial" w:hAnsi="Arial" w:eastAsia="Arial" w:cs="Arial"/>
      <w:sz w:val="34"/>
    </w:rPr>
  </w:style>
  <w:style w:type="character" w:styleId="706">
    <w:name w:val="Heading 3 Char"/>
    <w:basedOn w:val="880"/>
    <w:link w:val="876"/>
    <w:uiPriority w:val="9"/>
    <w:rPr>
      <w:rFonts w:ascii="Arial" w:hAnsi="Arial" w:eastAsia="Arial" w:cs="Arial"/>
      <w:sz w:val="30"/>
      <w:szCs w:val="30"/>
    </w:rPr>
  </w:style>
  <w:style w:type="character" w:styleId="707">
    <w:name w:val="Heading 4 Char"/>
    <w:basedOn w:val="880"/>
    <w:link w:val="877"/>
    <w:uiPriority w:val="9"/>
    <w:rPr>
      <w:rFonts w:ascii="Arial" w:hAnsi="Arial" w:eastAsia="Arial" w:cs="Arial"/>
      <w:b/>
      <w:bCs/>
      <w:sz w:val="26"/>
      <w:szCs w:val="26"/>
    </w:rPr>
  </w:style>
  <w:style w:type="character" w:styleId="708">
    <w:name w:val="Heading 5 Char"/>
    <w:basedOn w:val="880"/>
    <w:link w:val="878"/>
    <w:uiPriority w:val="9"/>
    <w:rPr>
      <w:rFonts w:ascii="Arial" w:hAnsi="Arial" w:eastAsia="Arial" w:cs="Arial"/>
      <w:b/>
      <w:bCs/>
      <w:sz w:val="24"/>
      <w:szCs w:val="24"/>
    </w:rPr>
  </w:style>
  <w:style w:type="character" w:styleId="709">
    <w:name w:val="Heading 6 Char"/>
    <w:basedOn w:val="880"/>
    <w:link w:val="879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3"/>
    <w:next w:val="873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basedOn w:val="880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3"/>
    <w:next w:val="873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basedOn w:val="880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3"/>
    <w:next w:val="873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basedOn w:val="880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List Paragraph"/>
    <w:basedOn w:val="873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before="0" w:after="0" w:line="240" w:lineRule="auto"/>
    </w:pPr>
  </w:style>
  <w:style w:type="character" w:styleId="718">
    <w:name w:val="Title Char"/>
    <w:basedOn w:val="880"/>
    <w:link w:val="884"/>
    <w:uiPriority w:val="10"/>
    <w:rPr>
      <w:sz w:val="48"/>
      <w:szCs w:val="48"/>
    </w:rPr>
  </w:style>
  <w:style w:type="character" w:styleId="719">
    <w:name w:val="Subtitle Char"/>
    <w:basedOn w:val="880"/>
    <w:link w:val="893"/>
    <w:uiPriority w:val="11"/>
    <w:rPr>
      <w:sz w:val="24"/>
      <w:szCs w:val="24"/>
    </w:rPr>
  </w:style>
  <w:style w:type="paragraph" w:styleId="720">
    <w:name w:val="Quote"/>
    <w:basedOn w:val="873"/>
    <w:next w:val="873"/>
    <w:link w:val="721"/>
    <w:uiPriority w:val="29"/>
    <w:qFormat/>
    <w:pPr>
      <w:ind w:left="720" w:right="720"/>
    </w:pPr>
    <w:rPr>
      <w:i/>
    </w:r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3"/>
    <w:next w:val="873"/>
    <w:link w:val="72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>
    <w:name w:val="Intense Quote Char"/>
    <w:link w:val="722"/>
    <w:uiPriority w:val="30"/>
    <w:rPr>
      <w:i/>
    </w:rPr>
  </w:style>
  <w:style w:type="paragraph" w:styleId="724">
    <w:name w:val="Header"/>
    <w:basedOn w:val="873"/>
    <w:link w:val="72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Header Char"/>
    <w:basedOn w:val="880"/>
    <w:link w:val="724"/>
    <w:uiPriority w:val="99"/>
  </w:style>
  <w:style w:type="paragraph" w:styleId="726">
    <w:name w:val="Footer"/>
    <w:basedOn w:val="873"/>
    <w:link w:val="72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Footer Char"/>
    <w:basedOn w:val="880"/>
    <w:link w:val="726"/>
    <w:uiPriority w:val="99"/>
  </w:style>
  <w:style w:type="paragraph" w:styleId="728">
    <w:name w:val="Caption"/>
    <w:basedOn w:val="873"/>
    <w:next w:val="8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9">
    <w:name w:val="Caption Char"/>
    <w:basedOn w:val="728"/>
    <w:link w:val="726"/>
    <w:uiPriority w:val="99"/>
  </w:style>
  <w:style w:type="table" w:styleId="730">
    <w:name w:val="Table Grid"/>
    <w:basedOn w:val="88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Table Grid Light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>
    <w:name w:val="Grid Table 4 - Accent 1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0">
    <w:name w:val="Grid Table 4 - Accent 2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Grid Table 4 - Accent 3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2">
    <w:name w:val="Grid Table 4 - Accent 4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Grid Table 4 - Accent 5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4">
    <w:name w:val="Grid Table 4 - Accent 6"/>
    <w:basedOn w:val="8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5">
    <w:name w:val="Grid Table 5 Dark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2">
    <w:name w:val="Grid Table 6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4">
    <w:name w:val="List Table 2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5">
    <w:name w:val="List Table 2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6">
    <w:name w:val="List Table 2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7">
    <w:name w:val="List Table 2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8">
    <w:name w:val="List Table 2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9">
    <w:name w:val="List Table 2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2">
    <w:name w:val="List Table 6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3">
    <w:name w:val="List Table 6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List Table 6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5">
    <w:name w:val="List Table 6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List Table 6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7">
    <w:name w:val="List Table 6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8">
    <w:name w:val="List Table 7 Colorful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0">
    <w:name w:val="List Table 7 Colorful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1">
    <w:name w:val="List Table 7 Colorful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2">
    <w:name w:val="List Table 7 Colorful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3">
    <w:name w:val="List Table 7 Colorful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4">
    <w:name w:val="List Table 7 Colorful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5">
    <w:name w:val="Lined - Accent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Lined - Accent 1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7">
    <w:name w:val="Lined - Accent 2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8">
    <w:name w:val="Lined - Accent 3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9">
    <w:name w:val="Lined - Accent 4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0">
    <w:name w:val="Lined - Accent 5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1">
    <w:name w:val="Lined - Accent 6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2">
    <w:name w:val="Bordered &amp; Lined - Accent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Bordered &amp; Lined - Accent 1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4">
    <w:name w:val="Bordered &amp; Lined - Accent 2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5">
    <w:name w:val="Bordered &amp; Lined - Accent 3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6">
    <w:name w:val="Bordered &amp; Lined - Accent 4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7">
    <w:name w:val="Bordered &amp; Lined - Accent 5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8">
    <w:name w:val="Bordered &amp; Lined - Accent 6"/>
    <w:basedOn w:val="8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9">
    <w:name w:val="Bordered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0">
    <w:name w:val="Bordered - Accent 1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1">
    <w:name w:val="Bordered - Accent 2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2">
    <w:name w:val="Bordered - Accent 3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3">
    <w:name w:val="Bordered - Accent 4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4">
    <w:name w:val="Bordered - Accent 5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5">
    <w:name w:val="Bordered - Accent 6"/>
    <w:basedOn w:val="8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6">
    <w:name w:val="footnote text"/>
    <w:basedOn w:val="873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80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80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  <w:rPr>
      <w:rFonts w:cs="Arial Unicode MS"/>
      <w:color w:val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874">
    <w:name w:val="Heading 1"/>
    <w:next w:val="873"/>
    <w:uiPriority w:val="9"/>
    <w:qFormat/>
    <w:pPr>
      <w:keepLines/>
      <w:keepNext/>
      <w:spacing w:before="480" w:after="120"/>
      <w:outlineLvl w:val="0"/>
    </w:pPr>
    <w:rPr>
      <w:rFonts w:cs="Arial Unicode MS"/>
      <w:b/>
      <w:bCs/>
      <w:color w:val="000000"/>
      <w:sz w:val="48"/>
      <w:szCs w:val="48"/>
    </w:rPr>
  </w:style>
  <w:style w:type="paragraph" w:styleId="875">
    <w:name w:val="Heading 2"/>
    <w:basedOn w:val="873"/>
    <w:next w:val="873"/>
    <w:uiPriority w:val="9"/>
    <w:semiHidden/>
    <w:unhideWhenUsed/>
    <w:qFormat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76">
    <w:name w:val="Heading 3"/>
    <w:basedOn w:val="873"/>
    <w:next w:val="873"/>
    <w:uiPriority w:val="9"/>
    <w:semiHidden/>
    <w:unhideWhenUsed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77">
    <w:name w:val="Heading 4"/>
    <w:basedOn w:val="873"/>
    <w:next w:val="873"/>
    <w:uiPriority w:val="9"/>
    <w:semiHidden/>
    <w:unhideWhenUsed/>
    <w:qFormat/>
    <w:pPr>
      <w:keepLines/>
      <w:keepNext/>
      <w:spacing w:before="240" w:after="40"/>
      <w:outlineLvl w:val="3"/>
    </w:pPr>
    <w:rPr>
      <w:b/>
    </w:rPr>
  </w:style>
  <w:style w:type="paragraph" w:styleId="878">
    <w:name w:val="Heading 5"/>
    <w:basedOn w:val="873"/>
    <w:next w:val="873"/>
    <w:uiPriority w:val="9"/>
    <w:semiHidden/>
    <w:unhideWhenUsed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79">
    <w:name w:val="Heading 6"/>
    <w:basedOn w:val="873"/>
    <w:next w:val="873"/>
    <w:uiPriority w:val="9"/>
    <w:semiHidden/>
    <w:unhideWhenUsed/>
    <w:qFormat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80" w:default="1">
    <w:name w:val="Default Paragraph Font"/>
    <w:uiPriority w:val="1"/>
    <w:semiHidden/>
    <w:unhideWhenUsed/>
  </w:style>
  <w:style w:type="table" w:styleId="8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2" w:default="1">
    <w:name w:val="No List"/>
    <w:uiPriority w:val="99"/>
    <w:semiHidden/>
    <w:unhideWhenUsed/>
  </w:style>
  <w:style w:type="table" w:styleId="88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84">
    <w:name w:val="Title"/>
    <w:basedOn w:val="873"/>
    <w:next w:val="873"/>
    <w:uiPriority w:val="10"/>
    <w:qFormat/>
    <w:pPr>
      <w:keepLines/>
      <w:keepNext/>
      <w:spacing w:before="480" w:after="120"/>
    </w:pPr>
    <w:rPr>
      <w:b/>
      <w:sz w:val="72"/>
      <w:szCs w:val="72"/>
    </w:rPr>
  </w:style>
  <w:style w:type="character" w:styleId="885">
    <w:name w:val="Hyperlink"/>
    <w:rPr>
      <w:u w:val="single"/>
    </w:rPr>
  </w:style>
  <w:style w:type="table" w:styleId="886" w:customStyle="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87" w:customStyle="1">
    <w:name w:val="Колонтитулы"/>
    <w:pPr>
      <w:tabs>
        <w:tab w:val="right" w:pos="9020" w:leader="none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888" w:customStyle="1">
    <w:name w:val="Нет"/>
  </w:style>
  <w:style w:type="character" w:styleId="889" w:customStyle="1">
    <w:name w:val="Hyperlink.0"/>
    <w:basedOn w:val="888"/>
    <w:rPr>
      <w:rFonts w:ascii="Times New Roman" w:hAnsi="Times New Roman" w:eastAsia="Times New Roman" w:cs="Times New Roman"/>
      <w:sz w:val="24"/>
      <w:szCs w:val="24"/>
      <w:u w:val="single"/>
    </w:rPr>
  </w:style>
  <w:style w:type="character" w:styleId="890" w:customStyle="1">
    <w:name w:val="Hyperlink.1"/>
    <w:basedOn w:val="888"/>
    <w:rPr>
      <w:rFonts w:ascii="Times New Roman" w:hAnsi="Times New Roman" w:eastAsia="Times New Roman" w:cs="Times New Roman"/>
      <w:color w:val="0000ff"/>
      <w:sz w:val="20"/>
      <w:szCs w:val="20"/>
      <w:u w:val="single"/>
      <w:lang w:val="ru-RU"/>
    </w:rPr>
  </w:style>
  <w:style w:type="character" w:styleId="891" w:customStyle="1">
    <w:name w:val="Hyperlink.2"/>
    <w:basedOn w:val="888"/>
    <w:rPr>
      <w:rFonts w:ascii="Times New Roman" w:hAnsi="Times New Roman" w:eastAsia="Times New Roman" w:cs="Times New Roman"/>
      <w:sz w:val="20"/>
      <w:szCs w:val="20"/>
      <w:u w:val="single"/>
      <w:lang w:val="ru-RU"/>
    </w:rPr>
  </w:style>
  <w:style w:type="character" w:styleId="892" w:customStyle="1">
    <w:name w:val="Нет A"/>
    <w:rPr>
      <w:lang w:val="ru-RU"/>
    </w:rPr>
  </w:style>
  <w:style w:type="paragraph" w:styleId="893">
    <w:name w:val="Subtitle"/>
    <w:basedOn w:val="873"/>
    <w:next w:val="873"/>
    <w:uiPriority w:val="11"/>
    <w:qFormat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94" w:customStyle="1">
    <w:name w:val="StGen0"/>
    <w:basedOn w:val="886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abilympics-russia.ru" TargetMode="External"/><Relationship Id="rId12" Type="http://schemas.openxmlformats.org/officeDocument/2006/relationships/hyperlink" Target="https://rsv.ru" TargetMode="External"/><Relationship Id="rId13" Type="http://schemas.openxmlformats.org/officeDocument/2006/relationships/hyperlink" Target="https://nationalpriority.ru" TargetMode="External"/><Relationship Id="rId14" Type="http://schemas.openxmlformats.org/officeDocument/2006/relationships/hyperlink" Target="mailto:alena.Bahroma@gmail.com" TargetMode="External"/><Relationship Id="rId15" Type="http://schemas.openxmlformats.org/officeDocument/2006/relationships/hyperlink" Target="mailto:nina.maslova@rsv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zYeG0Uhg10mPUYDl2XOcTrvBdQ==">AMUW2mVJN9OHT4QoPJmoUvhMpt7ZDNqVQ+5M25spqPAMElTTfMl0qN8874X5OD3pVUqaw/JMdBi0ZZq7MJ3ZM9ay14AWWVCUHms+6DVgqSXEurzF9XmFhIU=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HP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 R</cp:lastModifiedBy>
  <cp:revision>11</cp:revision>
  <dcterms:created xsi:type="dcterms:W3CDTF">2022-11-22T08:49:00Z</dcterms:created>
  <dcterms:modified xsi:type="dcterms:W3CDTF">2022-11-28T10:35:39Z</dcterms:modified>
</cp:coreProperties>
</file>