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68" w:lineRule="atLeast"/>
        <w:jc w:val="both"/>
      </w:pPr>
      <w:r>
        <w:rPr>
          <w:rFonts w:ascii="Times New Roman" w:eastAsia="Times New Roman" w:hAnsi="Times New Roman" w:cs="Times New Roman"/>
        </w:rPr>
        <w:t>Пресс-релиз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68" w:lineRule="atLeast"/>
        <w:jc w:val="both"/>
      </w:pPr>
      <w:r>
        <w:rPr>
          <w:rFonts w:ascii="Times New Roman" w:eastAsia="Times New Roman" w:hAnsi="Times New Roman" w:cs="Times New Roman"/>
        </w:rPr>
        <w:t>05.10.2022 г.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Республике Калмыкия завершился Подготовительный этап Национального чемпионата «Абилимпикс»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В Элисте </w:t>
      </w:r>
      <w:r>
        <w:rPr>
          <w:rFonts w:ascii="Times New Roman" w:eastAsia="Times New Roman" w:hAnsi="Times New Roman" w:cs="Times New Roman"/>
          <w:b/>
        </w:rPr>
        <w:t xml:space="preserve">завершились соревнования Подготовительного этапа Национального чемпионата по профессиональному мастерству среди людей с инвалидностью и лиц с ограниченными возможностями здоровья </w:t>
      </w:r>
      <w:hyperlink r:id="rId6" w:tooltip="https://abilympics-russia.ru/" w:history="1">
        <w:r>
          <w:rPr>
            <w:rStyle w:val="af9"/>
            <w:rFonts w:ascii="Times New Roman" w:eastAsia="Times New Roman" w:hAnsi="Times New Roman" w:cs="Times New Roman"/>
            <w:b/>
            <w:color w:val="1155CC"/>
          </w:rPr>
          <w:t>«Абилимпикс»</w:t>
        </w:r>
      </w:hyperlink>
      <w:r>
        <w:rPr>
          <w:rFonts w:ascii="Times New Roman" w:eastAsia="Times New Roman" w:hAnsi="Times New Roman" w:cs="Times New Roman"/>
          <w:b/>
        </w:rPr>
        <w:t xml:space="preserve"> 2022 года президентской платформы </w:t>
      </w:r>
      <w:hyperlink r:id="rId7" w:tooltip="https://rsv.ru/" w:history="1">
        <w:r>
          <w:rPr>
            <w:rStyle w:val="af9"/>
            <w:rFonts w:ascii="Times New Roman" w:eastAsia="Times New Roman" w:hAnsi="Times New Roman" w:cs="Times New Roman"/>
            <w:b/>
            <w:color w:val="1155CC"/>
          </w:rPr>
          <w:t>«Россия – страна возможностей»</w:t>
        </w:r>
      </w:hyperlink>
      <w:r>
        <w:rPr>
          <w:rFonts w:ascii="Times New Roman" w:eastAsia="Times New Roman" w:hAnsi="Times New Roman" w:cs="Times New Roman"/>
          <w:b/>
        </w:rPr>
        <w:t>. Соревнования проходили в очно-дистанционном формате в с 21 по 26 сентября на базе образовательных организаций среднего п</w:t>
      </w:r>
      <w:r>
        <w:rPr>
          <w:rFonts w:ascii="Times New Roman" w:eastAsia="Times New Roman" w:hAnsi="Times New Roman" w:cs="Times New Roman"/>
          <w:b/>
        </w:rPr>
        <w:t xml:space="preserve">рофессионального образования. 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i/>
        </w:rPr>
        <w:t>Чемпионат «Абилимпикс» мотивирует людей с инвалидностью и ограниченными возможностями здоровья на самореализацию, повышение уровня профессионального мастерства и установление жизненных целей</w:t>
      </w:r>
      <w:r>
        <w:rPr>
          <w:rFonts w:ascii="Times New Roman" w:eastAsia="Times New Roman" w:hAnsi="Times New Roman" w:cs="Times New Roman"/>
        </w:rPr>
        <w:t>, – говорит Заместитель Министра п</w:t>
      </w:r>
      <w:r>
        <w:rPr>
          <w:rFonts w:ascii="Times New Roman" w:eastAsia="Times New Roman" w:hAnsi="Times New Roman" w:cs="Times New Roman"/>
        </w:rPr>
        <w:t xml:space="preserve">росвещения Российской Федерации </w:t>
      </w:r>
      <w:r>
        <w:rPr>
          <w:rFonts w:ascii="Times New Roman" w:eastAsia="Times New Roman" w:hAnsi="Times New Roman" w:cs="Times New Roman"/>
          <w:b/>
        </w:rPr>
        <w:t>Денис Грибов</w:t>
      </w:r>
      <w:r>
        <w:rPr>
          <w:rFonts w:ascii="Times New Roman" w:eastAsia="Times New Roman" w:hAnsi="Times New Roman" w:cs="Times New Roman"/>
        </w:rPr>
        <w:t xml:space="preserve">. – </w:t>
      </w:r>
      <w:r>
        <w:rPr>
          <w:rFonts w:ascii="Times New Roman" w:eastAsia="Times New Roman" w:hAnsi="Times New Roman" w:cs="Times New Roman"/>
          <w:i/>
        </w:rPr>
        <w:t>Работодатели, посещая площадку, отмечают профессионализм участников чемпионата. А демонстрируемое конкурсантами мастерство формирует готовность предприятий к трудоустройству участников</w:t>
      </w:r>
      <w:r>
        <w:rPr>
          <w:rFonts w:ascii="Times New Roman" w:eastAsia="Times New Roman" w:hAnsi="Times New Roman" w:cs="Times New Roman"/>
        </w:rPr>
        <w:t>».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</w:rPr>
        <w:t>Первый заместитель ге</w:t>
      </w:r>
      <w:r>
        <w:rPr>
          <w:rFonts w:ascii="Times New Roman" w:eastAsia="Times New Roman" w:hAnsi="Times New Roman" w:cs="Times New Roman"/>
        </w:rPr>
        <w:t xml:space="preserve">нерального директора АНО «Россия – страна возможностей» </w:t>
      </w:r>
      <w:r>
        <w:rPr>
          <w:rFonts w:ascii="Times New Roman" w:eastAsia="Times New Roman" w:hAnsi="Times New Roman" w:cs="Times New Roman"/>
          <w:b/>
        </w:rPr>
        <w:t>Алексей Агафонов</w:t>
      </w:r>
      <w:r>
        <w:rPr>
          <w:rFonts w:ascii="Times New Roman" w:eastAsia="Times New Roman" w:hAnsi="Times New Roman" w:cs="Times New Roman"/>
        </w:rPr>
        <w:t xml:space="preserve"> рассказал, что все проекты президентской платформы направлены на подготовку квалифицированных кадров, и «Абилимпикс» открывает перед специалистами с инвалидностью серьезные перспектив</w:t>
      </w:r>
      <w:r>
        <w:rPr>
          <w:rFonts w:ascii="Times New Roman" w:eastAsia="Times New Roman" w:hAnsi="Times New Roman" w:cs="Times New Roman"/>
        </w:rPr>
        <w:t xml:space="preserve">ы: </w:t>
      </w:r>
      <w:r>
        <w:rPr>
          <w:rFonts w:ascii="Times New Roman" w:eastAsia="Times New Roman" w:hAnsi="Times New Roman" w:cs="Times New Roman"/>
          <w:i/>
        </w:rPr>
        <w:t>«Движение является эффективной площадкой для трудоустройства. Школьники могут определиться со своей профессией, студенты – найти работу. А уже работающие специалисты расширяют свой кругозор, общаются с единомышленниками, получают обратную связь от экспе</w:t>
      </w:r>
      <w:r>
        <w:rPr>
          <w:rFonts w:ascii="Times New Roman" w:eastAsia="Times New Roman" w:hAnsi="Times New Roman" w:cs="Times New Roman"/>
          <w:i/>
        </w:rPr>
        <w:t>ртов и усиливают свои компетенции. Поздравляю всех победителей дистанционного этапа с получением медалей или выходом в Национальный чемпионат, который пройдет в октябре. Вместе с тем, участникам, которым предстоит финал в Москве, желаю удачи и сил, чтобы д</w:t>
      </w:r>
      <w:r>
        <w:rPr>
          <w:rFonts w:ascii="Times New Roman" w:eastAsia="Times New Roman" w:hAnsi="Times New Roman" w:cs="Times New Roman"/>
          <w:i/>
        </w:rPr>
        <w:t>обиться на соревнованиях своего лучшего результата!».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  <w:i/>
        </w:rPr>
        <w:t>«Сегодня многие получили первый серьезный опыт, который даст участникам старт в профессиональной жизни,</w:t>
      </w:r>
      <w:r>
        <w:rPr>
          <w:rFonts w:ascii="Times New Roman" w:eastAsia="Times New Roman" w:hAnsi="Times New Roman" w:cs="Times New Roman"/>
        </w:rPr>
        <w:t xml:space="preserve"> - говорит руководитель Национального центра «Абилимпикс» </w:t>
      </w:r>
      <w:r>
        <w:rPr>
          <w:rFonts w:ascii="Times New Roman" w:eastAsia="Times New Roman" w:hAnsi="Times New Roman" w:cs="Times New Roman"/>
          <w:b/>
        </w:rPr>
        <w:t>Алексей Васильчук</w:t>
      </w:r>
      <w:r>
        <w:rPr>
          <w:rFonts w:ascii="Times New Roman" w:eastAsia="Times New Roman" w:hAnsi="Times New Roman" w:cs="Times New Roman"/>
        </w:rPr>
        <w:t xml:space="preserve">. - </w:t>
      </w:r>
      <w:r>
        <w:rPr>
          <w:rFonts w:ascii="Times New Roman" w:eastAsia="Times New Roman" w:hAnsi="Times New Roman" w:cs="Times New Roman"/>
          <w:i/>
        </w:rPr>
        <w:t>Между тем, многие уч</w:t>
      </w:r>
      <w:r>
        <w:rPr>
          <w:rFonts w:ascii="Times New Roman" w:eastAsia="Times New Roman" w:hAnsi="Times New Roman" w:cs="Times New Roman"/>
          <w:i/>
        </w:rPr>
        <w:t>астники остаются в «Абилимпикс» и продолжают улучшать свои навыки. Не редки случаи, когда победитель Национального чемпионата в одной из компетенций через год побеждает и в другой, демонстрируя свои возможности сразу в нескольких направлениях».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  <w:highlight w:val="white"/>
        </w:rPr>
        <w:t>Стимулом дл</w:t>
      </w:r>
      <w:r>
        <w:rPr>
          <w:rFonts w:ascii="Times New Roman" w:eastAsia="Times New Roman" w:hAnsi="Times New Roman" w:cs="Times New Roman"/>
          <w:highlight w:val="white"/>
        </w:rPr>
        <w:t>я достижения высоких результатах в чемпионате «Абилимпикс» является поддержка со стороны региона. Конкурсанты, ставшие призерами на национальном уровне, поощряются</w:t>
      </w:r>
      <w:r>
        <w:rPr>
          <w:rFonts w:ascii="Times New Roman" w:eastAsia="Times New Roman" w:hAnsi="Times New Roman" w:cs="Times New Roman"/>
        </w:rPr>
        <w:t xml:space="preserve"> дипломами и денежными сертификатами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«В регионе есть работа для всех желающих, и участие в </w:t>
      </w:r>
      <w:r>
        <w:rPr>
          <w:rFonts w:ascii="Times New Roman" w:hAnsi="Times New Roman" w:cs="Times New Roman"/>
          <w:i/>
        </w:rPr>
        <w:t>конкурсах профессионального мастерства вселяет уверенность участников в своих возможностях»</w:t>
      </w:r>
      <w:r>
        <w:rPr>
          <w:rFonts w:ascii="Times New Roman" w:hAnsi="Times New Roman" w:cs="Times New Roman"/>
        </w:rPr>
        <w:t xml:space="preserve">, - прокомментировала член Координационного совета «Абилимпикс» Республики Калмыкия, генеральный директор ООО «ВНТ Медикал» </w:t>
      </w:r>
      <w:r>
        <w:rPr>
          <w:rFonts w:ascii="Times New Roman" w:hAnsi="Times New Roman" w:cs="Times New Roman"/>
          <w:b/>
        </w:rPr>
        <w:t>Гиляна Ванькаева</w:t>
      </w:r>
      <w:r>
        <w:rPr>
          <w:rFonts w:ascii="Times New Roman" w:hAnsi="Times New Roman" w:cs="Times New Roman"/>
        </w:rPr>
        <w:t>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дополнительных компет</w:t>
      </w:r>
      <w:r>
        <w:rPr>
          <w:rFonts w:ascii="Times New Roman" w:eastAsia="Times New Roman" w:hAnsi="Times New Roman" w:cs="Times New Roman"/>
        </w:rPr>
        <w:t>енциях Подготовительного этапа Национального чемпионата из Республики Калмыкия принимали участие победители регионального этапа Кичикова Байрта, учитель начальных классов МКОУ «Яшкульская многопрофильная гимназия им. Хаглышевой Е.К.» и Лыскина Людмила, учи</w:t>
      </w:r>
      <w:r>
        <w:rPr>
          <w:rFonts w:ascii="Times New Roman" w:eastAsia="Times New Roman" w:hAnsi="Times New Roman" w:cs="Times New Roman"/>
        </w:rPr>
        <w:t>тель начальных классов МБОУ «СОШ № 15» в компетенции «Учитель начальных классов», продемонстрировав высокий профессионализм, Байрта Кичикова вошла в «пятерку» лучших в категории «специалисты». В компетенции «Медицинский и социальный уход» студентка Калмыцк</w:t>
      </w:r>
      <w:r>
        <w:rPr>
          <w:rFonts w:ascii="Times New Roman" w:eastAsia="Times New Roman" w:hAnsi="Times New Roman" w:cs="Times New Roman"/>
        </w:rPr>
        <w:t xml:space="preserve">ого медицинского колледжа имени Т.Хахлыновой Инджяева Айлана, в компетенции «Веб-дизайн» студент КФ МГГЭУ Водопьянов Чингиз показали достойные результаты. Также отборочных соревнованиях по основным компетенциям приняли участие победители </w:t>
      </w:r>
      <w:r>
        <w:rPr>
          <w:rFonts w:ascii="Times New Roman" w:eastAsia="Times New Roman" w:hAnsi="Times New Roman" w:cs="Times New Roman"/>
          <w:lang w:val="en-US"/>
        </w:rPr>
        <w:t>V</w:t>
      </w:r>
      <w:r>
        <w:rPr>
          <w:rFonts w:ascii="Times New Roman" w:eastAsia="Times New Roman" w:hAnsi="Times New Roman" w:cs="Times New Roman"/>
        </w:rPr>
        <w:t xml:space="preserve"> Регионального чемпионата: «Дошкольное воспитание» - Дворядкина Светлана, воспитатель МКДОУ «Детский сад № 19 «Тюльпанчик», войдя в пятерку лучших специалистов, и «Предпринимательство» - Хобунов Эрдни, студент ФСПО ФГБОУ ВО «КалмГУ».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«Абилимпикс – это огро</w:t>
      </w:r>
      <w:r>
        <w:rPr>
          <w:rFonts w:ascii="Times New Roman" w:eastAsia="Times New Roman" w:hAnsi="Times New Roman" w:cs="Times New Roman"/>
          <w:i/>
        </w:rPr>
        <w:t>мный опыт и осознание, что мы можем больше, это профессиональный и личностный рост. Благодарю за поддержку организаторов Центра развития движения «Абилимпикс» Республики Калмыкия, Министерство образования и науки Республики Калмыкия и экспертов по компетен</w:t>
      </w:r>
      <w:r>
        <w:rPr>
          <w:rFonts w:ascii="Times New Roman" w:eastAsia="Times New Roman" w:hAnsi="Times New Roman" w:cs="Times New Roman"/>
          <w:i/>
        </w:rPr>
        <w:t>ции «Дошкольное воспитание!»</w:t>
      </w:r>
      <w:r>
        <w:rPr>
          <w:rFonts w:ascii="Times New Roman" w:eastAsia="Times New Roman" w:hAnsi="Times New Roman" w:cs="Times New Roman"/>
        </w:rPr>
        <w:t xml:space="preserve">, -отметила призер </w:t>
      </w:r>
      <w:r>
        <w:rPr>
          <w:rFonts w:ascii="Times New Roman" w:eastAsia="Times New Roman" w:hAnsi="Times New Roman" w:cs="Times New Roman"/>
          <w:lang w:val="en-US"/>
        </w:rPr>
        <w:t>V</w:t>
      </w:r>
      <w:r>
        <w:rPr>
          <w:rFonts w:ascii="Times New Roman" w:eastAsia="Times New Roman" w:hAnsi="Times New Roman" w:cs="Times New Roman"/>
        </w:rPr>
        <w:t xml:space="preserve"> Регионального чемпионата «Абилимпикс» Республики Калмыкия </w:t>
      </w:r>
      <w:r>
        <w:rPr>
          <w:rFonts w:ascii="Times New Roman" w:eastAsia="Times New Roman" w:hAnsi="Times New Roman" w:cs="Times New Roman"/>
          <w:b/>
        </w:rPr>
        <w:t>Гиляна Шукаева</w:t>
      </w:r>
      <w:r>
        <w:rPr>
          <w:rFonts w:ascii="Times New Roman" w:eastAsia="Times New Roman" w:hAnsi="Times New Roman" w:cs="Times New Roman"/>
        </w:rPr>
        <w:t>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</w:rPr>
        <w:t>В 2022 году Национальный чемпионат «Абилимпикс» проходит в двух форматах – очном и очно-дистанционном. Соревнования в очно-дистанцион</w:t>
      </w:r>
      <w:r>
        <w:rPr>
          <w:rFonts w:ascii="Times New Roman" w:eastAsia="Times New Roman" w:hAnsi="Times New Roman" w:cs="Times New Roman"/>
        </w:rPr>
        <w:t>ном формате проходили с 19 по 29 сентября по 39 дополнительным компетенциям на площадках в регионах участников с центром управления в Москве. Работы участников оценивали 469 экспертов.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  <w:i/>
        </w:rPr>
        <w:t>«В республике завершен Подготовительный этап Национального чемпионата «</w:t>
      </w:r>
      <w:r>
        <w:rPr>
          <w:rFonts w:ascii="Times New Roman" w:eastAsia="Times New Roman" w:hAnsi="Times New Roman" w:cs="Times New Roman"/>
          <w:i/>
        </w:rPr>
        <w:t>Абилимпикс». Нас радуют успехи участников - педагогов, вошедших в десятку лучших в стране, успехи каждого из победителей регионального этапа. Движение «Абилимпикс» - это движение вверх, к звездам, движение сильных духом людей, умных, талантливых! Мы гордим</w:t>
      </w:r>
      <w:r>
        <w:rPr>
          <w:rFonts w:ascii="Times New Roman" w:eastAsia="Times New Roman" w:hAnsi="Times New Roman" w:cs="Times New Roman"/>
          <w:i/>
        </w:rPr>
        <w:t>ся вами, дорогие друзья! Белой дороги!»</w:t>
      </w:r>
      <w:r>
        <w:rPr>
          <w:rFonts w:ascii="Times New Roman" w:eastAsia="Times New Roman" w:hAnsi="Times New Roman" w:cs="Times New Roman"/>
        </w:rPr>
        <w:t xml:space="preserve">, - отметила руководитель центра развития движения «Абилимпикс» Республики Калмыкия </w:t>
      </w:r>
      <w:r>
        <w:rPr>
          <w:rFonts w:ascii="Times New Roman" w:eastAsia="Times New Roman" w:hAnsi="Times New Roman" w:cs="Times New Roman"/>
          <w:b/>
        </w:rPr>
        <w:t>Галина Васькина</w:t>
      </w:r>
      <w:r>
        <w:rPr>
          <w:rFonts w:ascii="Times New Roman" w:eastAsia="Times New Roman" w:hAnsi="Times New Roman" w:cs="Times New Roman"/>
        </w:rPr>
        <w:t>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</w:rPr>
        <w:t>«Абилимпикс» – это международное некоммерческое движен</w:t>
      </w:r>
      <w:r>
        <w:rPr>
          <w:rFonts w:ascii="Times New Roman" w:eastAsia="Times New Roman" w:hAnsi="Times New Roman" w:cs="Times New Roman"/>
        </w:rPr>
        <w:t xml:space="preserve">ие, зародившееся в Японии и развивающееся в мире с 1971 года. В настоящее время в международное движение входит 53 страны. В России чемпионаты по профессиональному мастерству среди инвалидов и лиц с ОВЗ «Абилимпикс» являются частью президентской платформы </w:t>
      </w:r>
      <w:hyperlink r:id="rId8" w:tooltip="https://rsv.ru/" w:history="1">
        <w:r>
          <w:rPr>
            <w:rStyle w:val="af9"/>
            <w:rFonts w:ascii="Times New Roman" w:eastAsia="Times New Roman" w:hAnsi="Times New Roman" w:cs="Times New Roman"/>
            <w:color w:val="0563C1"/>
          </w:rPr>
          <w:t>«Россия – страна возможностей»</w:t>
        </w:r>
      </w:hyperlink>
      <w:r>
        <w:rPr>
          <w:rFonts w:ascii="Times New Roman" w:eastAsia="Times New Roman" w:hAnsi="Times New Roman" w:cs="Times New Roman"/>
        </w:rPr>
        <w:t>. Начиная с 2015 года, в нашей стране конкурсы проходят ежегодно, центры развития движения «Абилимпикс» открыты во всех 85 регионах России.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Медиаматериалы доступны по ссылке</w:t>
      </w:r>
      <w:r>
        <w:rPr>
          <w:rFonts w:ascii="Times New Roman" w:eastAsia="Times New Roman" w:hAnsi="Times New Roman" w:cs="Times New Roman"/>
          <w:b/>
          <w:u w:val="single"/>
        </w:rPr>
        <w:t>:</w:t>
      </w:r>
      <w:r>
        <w:rPr>
          <w:rFonts w:ascii="Times New Roman" w:eastAsia="Times New Roman" w:hAnsi="Times New Roman" w:cs="Times New Roman"/>
          <w:b/>
        </w:rPr>
        <w:t xml:space="preserve"> https://cloud.mail.ru/public/ZBB2/ipDWvHKMb</w:t>
      </w:r>
      <w:r>
        <w:rPr>
          <w:rFonts w:ascii="Times New Roman" w:eastAsia="Times New Roman" w:hAnsi="Times New Roman" w:cs="Times New Roman"/>
          <w:b/>
          <w:highlight w:val="yellow"/>
        </w:rPr>
        <w:t xml:space="preserve"> 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Информационная справка: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  <w:b/>
          <w:sz w:val="22"/>
        </w:rPr>
        <w:t>Чемпионаты по профессиональному мастерству среди инвалидов и лиц с ОВЗ «Абилимпикс» являются частью президентской платформы «Россия – страна возможностей».</w:t>
      </w:r>
      <w:r>
        <w:rPr>
          <w:rFonts w:ascii="Times New Roman" w:eastAsia="Times New Roman" w:hAnsi="Times New Roman" w:cs="Times New Roman"/>
          <w:sz w:val="22"/>
        </w:rPr>
        <w:t xml:space="preserve"> Движение обеспечивает эффекти</w:t>
      </w:r>
      <w:r>
        <w:rPr>
          <w:rFonts w:ascii="Times New Roman" w:eastAsia="Times New Roman" w:hAnsi="Times New Roman" w:cs="Times New Roman"/>
          <w:sz w:val="22"/>
        </w:rPr>
        <w:t xml:space="preserve">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содействие их трудоустройству и социокультурной инклюзии в обществе. Оператором </w:t>
      </w:r>
      <w:r>
        <w:rPr>
          <w:rFonts w:ascii="Times New Roman" w:eastAsia="Times New Roman" w:hAnsi="Times New Roman" w:cs="Times New Roman"/>
          <w:sz w:val="22"/>
        </w:rPr>
        <w:lastRenderedPageBreak/>
        <w:t>чемпионатного движения «Абилимпик</w:t>
      </w:r>
      <w:r>
        <w:rPr>
          <w:rFonts w:ascii="Times New Roman" w:eastAsia="Times New Roman" w:hAnsi="Times New Roman" w:cs="Times New Roman"/>
          <w:sz w:val="22"/>
        </w:rPr>
        <w:t>с» в России является Национальный центр «Абилимпикс», созданный на базе ФГБОУ ДПО «Институт развития профессионального образования».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  <w:b/>
          <w:sz w:val="22"/>
        </w:rPr>
        <w:t xml:space="preserve">Автономная некоммерческая организация (АНО) «Россия – страна возможностей» </w:t>
      </w:r>
      <w:r>
        <w:rPr>
          <w:rFonts w:ascii="Times New Roman" w:eastAsia="Times New Roman" w:hAnsi="Times New Roman" w:cs="Times New Roman"/>
          <w:sz w:val="22"/>
        </w:rPr>
        <w:t>была создана по инициативе Президента РФ Владими</w:t>
      </w:r>
      <w:r>
        <w:rPr>
          <w:rFonts w:ascii="Times New Roman" w:eastAsia="Times New Roman" w:hAnsi="Times New Roman" w:cs="Times New Roman"/>
          <w:sz w:val="22"/>
        </w:rPr>
        <w:t>ра Путина. Ключевые цели организации: создание условий для повышения социальной мобильности, обеспечения личностной и профессиональной самореализации граждан, а также создание эффективных социальных лифтов в России. Наблюдательный совет АНО «Россия – стран</w:t>
      </w:r>
      <w:r>
        <w:rPr>
          <w:rFonts w:ascii="Times New Roman" w:eastAsia="Times New Roman" w:hAnsi="Times New Roman" w:cs="Times New Roman"/>
          <w:sz w:val="22"/>
        </w:rPr>
        <w:t>а возможностей» возглавляет Президент РФ Владимир Путин.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76" w:lineRule="auto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АНО «Россия – страна возможностей» развивает одноименную платформу, объединяющую 26 проектов: конкурс управленцев «Лидеры России», всероссийская олимпиада студентов «Я – профессионал», конкурс «Твой </w:t>
      </w:r>
      <w:r>
        <w:rPr>
          <w:rFonts w:ascii="Times New Roman" w:eastAsia="Times New Roman" w:hAnsi="Times New Roman" w:cs="Times New Roman"/>
          <w:sz w:val="22"/>
        </w:rPr>
        <w:t>ход», всероссийский конкурс «Большая перемена», всероссийский проект «Время карьеры», проект «ТопБЛОГ», проект «Профстажировки 2.0», проект «Культурный код», фестиваль «Российская студенческая весна», всероссийский конкурс «Мастера гостеприимства», «Гранто</w:t>
      </w:r>
      <w:r>
        <w:rPr>
          <w:rFonts w:ascii="Times New Roman" w:eastAsia="Times New Roman" w:hAnsi="Times New Roman" w:cs="Times New Roman"/>
          <w:sz w:val="22"/>
        </w:rPr>
        <w:t>вый конкурс молодежных инициатив», конкурс «Цифровой прорыв», всероссийский профессиональный конкурс «Флагманы образования», всероссийский конкурс «Лучший социальный проект года», соревнования по профессиональному мастерству среди людей с инвалидностью «Аб</w:t>
      </w:r>
      <w:r>
        <w:rPr>
          <w:rFonts w:ascii="Times New Roman" w:eastAsia="Times New Roman" w:hAnsi="Times New Roman" w:cs="Times New Roman"/>
          <w:sz w:val="22"/>
        </w:rPr>
        <w:t>илимпикс», всероссийский молодежный кубок по менеджменту «Управляй!», Российская национальная премия «Студент года», движение Ворлдскиллс Россия, благотворительный проект «Мечтай со мной», конкурс «Моя страна – моя Россия», международный инженерный чемпион</w:t>
      </w:r>
      <w:r>
        <w:rPr>
          <w:rFonts w:ascii="Times New Roman" w:eastAsia="Times New Roman" w:hAnsi="Times New Roman" w:cs="Times New Roman"/>
          <w:sz w:val="22"/>
        </w:rPr>
        <w:t>ат «CASE-IN», «Национальная технологическая олимпиада», проект «Хакатоны и лекции по искусственному интеллекту» и платформа «Другое дело».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68" w:lineRule="atLeast"/>
        <w:jc w:val="both"/>
      </w:pPr>
      <w:r>
        <w:rPr>
          <w:rFonts w:ascii="Times New Roman" w:eastAsia="Times New Roman" w:hAnsi="Times New Roman" w:cs="Times New Roman"/>
          <w:b/>
          <w:u w:val="single"/>
        </w:rPr>
        <w:t xml:space="preserve">Контактная информация: 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2778"/>
        <w:gridCol w:w="3315"/>
      </w:tblGrid>
      <w:tr w:rsidR="00E90A9A">
        <w:trPr>
          <w:trHeight w:val="2236"/>
        </w:trPr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Руководитель Центра развития движения «Абилимпикс» Республики Калмыкия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Галина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Васькина,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+7 (906) 437-03-75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abilympics_kalmykia@mail.ru</w:t>
            </w:r>
          </w:p>
        </w:tc>
        <w:tc>
          <w:tcPr>
            <w:tcW w:w="27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Руководитель пресс-службы 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НЦ «Абилимпикс» 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Алена Бахрома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+ 7 (902) 659-58-88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360" w:lineRule="auto"/>
            </w:pPr>
            <w:hyperlink r:id="rId9" w:tooltip="mailto:alena.Bahroma@gmail.com" w:history="1">
              <w:r>
                <w:rPr>
                  <w:rStyle w:val="af9"/>
                  <w:rFonts w:ascii="Times New Roman" w:eastAsia="Times New Roman" w:hAnsi="Times New Roman" w:cs="Times New Roman"/>
                  <w:sz w:val="20"/>
                </w:rPr>
                <w:t>alena.Bahroma@gmail.com</w:t>
              </w:r>
            </w:hyperlink>
          </w:p>
        </w:tc>
        <w:tc>
          <w:tcPr>
            <w:tcW w:w="331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Руководитель направления региональных коммуникаций АНО «Россия – страна возможностей»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Елена Барсегова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+ 7 (926) 189-10-11</w:t>
            </w:r>
          </w:p>
          <w:p w:rsidR="00E90A9A" w:rsidRDefault="00AC73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</w:pPr>
            <w:hyperlink r:id="rId10" w:tooltip="mailto:elena.barsegova@rsv.ru" w:history="1">
              <w:r>
                <w:rPr>
                  <w:rStyle w:val="af9"/>
                  <w:rFonts w:ascii="Times New Roman" w:eastAsia="Times New Roman" w:hAnsi="Times New Roman" w:cs="Times New Roman"/>
                  <w:color w:val="0000FF"/>
                  <w:sz w:val="20"/>
                </w:rPr>
                <w:t>elena.barsegova@rsv.ru</w:t>
              </w:r>
            </w:hyperlink>
          </w:p>
        </w:tc>
      </w:tr>
    </w:tbl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</w:pPr>
      <w:r>
        <w:rPr>
          <w:rFonts w:ascii="Times New Roman" w:eastAsia="Times New Roman" w:hAnsi="Times New Roman" w:cs="Times New Roman"/>
          <w:b/>
        </w:rPr>
        <w:t> </w:t>
      </w:r>
    </w:p>
    <w:p w:rsidR="00E90A9A" w:rsidRDefault="00AC73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left="540" w:hanging="540"/>
      </w:pPr>
      <w:r>
        <w:rPr>
          <w:rFonts w:eastAsia="Calibri" w:cs="Calibri"/>
        </w:rPr>
        <w:t> </w:t>
      </w:r>
    </w:p>
    <w:p w:rsidR="00E90A9A" w:rsidRDefault="00E90A9A">
      <w:pPr>
        <w:widowControl w:val="0"/>
        <w:spacing w:before="120" w:after="120"/>
        <w:ind w:left="540" w:hanging="540"/>
      </w:pPr>
    </w:p>
    <w:sectPr w:rsidR="00E90A9A">
      <w:headerReference w:type="default" r:id="rId11"/>
      <w:footerReference w:type="default" r:id="rId12"/>
      <w:pgSz w:w="11900" w:h="16840"/>
      <w:pgMar w:top="1701" w:right="850" w:bottom="1134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A9A" w:rsidRDefault="00AC7308">
      <w:r>
        <w:separator/>
      </w:r>
    </w:p>
  </w:endnote>
  <w:endnote w:type="continuationSeparator" w:id="0">
    <w:p w:rsidR="00E90A9A" w:rsidRDefault="00AC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bri"/>
    <w:panose1 w:val="0202060305040502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A9A" w:rsidRDefault="00E90A9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A9A" w:rsidRDefault="00AC7308">
      <w:r>
        <w:separator/>
      </w:r>
    </w:p>
  </w:footnote>
  <w:footnote w:type="continuationSeparator" w:id="0">
    <w:p w:rsidR="00E90A9A" w:rsidRDefault="00AC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A9A" w:rsidRDefault="00AC7308">
    <w:pPr>
      <w:tabs>
        <w:tab w:val="center" w:pos="4677"/>
        <w:tab w:val="left" w:pos="8036"/>
        <w:tab w:val="left" w:pos="8126"/>
        <w:tab w:val="right" w:pos="9329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752" behindDoc="1" locked="0" layoutInCell="1" allowOverlap="1">
              <wp:simplePos x="0" y="0"/>
              <wp:positionH relativeFrom="page">
                <wp:posOffset>4718685</wp:posOffset>
              </wp:positionH>
              <wp:positionV relativeFrom="page">
                <wp:posOffset>176625</wp:posOffset>
              </wp:positionV>
              <wp:extent cx="501990" cy="810908"/>
              <wp:effectExtent l="0" t="0" r="0" b="0"/>
              <wp:wrapNone/>
              <wp:docPr id="1" name="officeArt object" descr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6" name="Рисунок 1" descr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01990" cy="810908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12.0pt;mso-wrap-distance-top:12.0pt;mso-wrap-distance-right:12.0pt;mso-wrap-distance-bottom:12.0pt;z-index:-251658752;o:allowoverlap:true;o:allowincell:true;mso-position-horizontal-relative:page;margin-left:371.5pt;mso-position-horizontal:absolute;mso-position-vertical-relative:page;margin-top:13.9pt;mso-position-vertical:absolute;width:39.5pt;height:63.9pt;" stroked="f" strokeweight="1.00pt">
              <v:path textboxrect="0,0,0,0"/>
              <v:imagedata r:id="rId2" o:title=""/>
            </v:shape>
          </w:pict>
        </mc:Fallback>
      </mc:AlternateContent>
    </w:r>
    <w:r>
      <w:tab/>
    </w:r>
    <w:r>
      <w:tab/>
    </w:r>
  </w:p>
  <w:p w:rsidR="00E90A9A" w:rsidRDefault="00AC7308">
    <w:r>
      <w:rPr>
        <w:noProof/>
      </w:rPr>
      <mc:AlternateContent>
        <mc:Choice Requires="wpg">
          <w:drawing>
            <wp:anchor distT="152400" distB="152400" distL="152400" distR="152400" simplePos="0" relativeHeight="251656704" behindDoc="1" locked="0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321308</wp:posOffset>
              </wp:positionV>
              <wp:extent cx="1390015" cy="530225"/>
              <wp:effectExtent l="0" t="0" r="0" b="0"/>
              <wp:wrapNone/>
              <wp:docPr id="2" name="officeArt object" descr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50595" name="image1.png" descr="image1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390014" cy="530224"/>
                      </a:xfrm>
                      <a:prstGeom prst="rect">
                        <a:avLst/>
                      </a:prstGeom>
                      <a:ln w="12700" cap="flat">
                        <a:noFill/>
                        <a:miter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12.0pt;mso-wrap-distance-top:12.0pt;mso-wrap-distance-right:12.0pt;mso-wrap-distance-bottom:12.0pt;z-index:-251656704;o:allowoverlap:true;o:allowincell:true;mso-position-horizontal-relative:page;margin-left:438.0pt;mso-position-horizontal:absolute;mso-position-vertical-relative:page;margin-top:25.3pt;mso-position-vertical:absolute;width:109.4pt;height:41.8pt;" stroked="f" strokeweight="1.00pt">
              <v:path textboxrect="0,0,0,0"/>
              <v:imagedata r:id="rId4" o:title=""/>
            </v:shape>
          </w:pict>
        </mc:Fallback>
      </mc:AlternateContent>
    </w:r>
  </w:p>
  <w:p w:rsidR="00E90A9A" w:rsidRDefault="00AC7308">
    <w:r>
      <w:rPr>
        <w:noProof/>
      </w:rPr>
      <mc:AlternateContent>
        <mc:Choice Requires="wpg">
          <w:drawing>
            <wp:anchor distT="152400" distB="152400" distL="152400" distR="152400" simplePos="0" relativeHeight="251657728" behindDoc="1" locked="0" layoutInCell="1" allowOverlap="1">
              <wp:simplePos x="0" y="0"/>
              <wp:positionH relativeFrom="page">
                <wp:posOffset>-1847850</wp:posOffset>
              </wp:positionH>
              <wp:positionV relativeFrom="page">
                <wp:posOffset>815022</wp:posOffset>
              </wp:positionV>
              <wp:extent cx="1390015" cy="530225"/>
              <wp:effectExtent l="0" t="0" r="0" b="0"/>
              <wp:wrapNone/>
              <wp:docPr id="3" name="officeArt object" descr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841464" name="image1.png" descr="image1.png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1390014" cy="530224"/>
                      </a:xfrm>
                      <a:prstGeom prst="rect">
                        <a:avLst/>
                      </a:prstGeom>
                      <a:ln w="12700" cap="flat">
                        <a:noFill/>
                        <a:miter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12.0pt;mso-wrap-distance-top:12.0pt;mso-wrap-distance-right:12.0pt;mso-wrap-distance-bottom:12.0pt;z-index:-251657728;o:allowoverlap:true;o:allowincell:true;mso-position-horizontal-relative:page;margin-left:-145.5pt;mso-position-horizontal:absolute;mso-position-vertical-relative:page;margin-top:64.2pt;mso-position-vertical:absolute;width:109.4pt;height:41.8pt;" stroked="f" strokeweight="1.00pt">
              <v:path textboxrect="0,0,0,0"/>
              <v:imagedata r:id="rId4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9A"/>
    <w:rsid w:val="00AC7308"/>
    <w:rsid w:val="00E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C6CC6-B425-6A43-AF26-F1A46303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Calibri" w:hAnsi="Calibri" w:cs="Arial Unicode MS"/>
      <w:color w:val="000000"/>
      <w:sz w:val="24"/>
      <w:szCs w:val="24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fb">
    <w:name w:val="Нет"/>
  </w:style>
  <w:style w:type="character" w:customStyle="1" w:styleId="Hyperlink0">
    <w:name w:val="Hyperlink.0"/>
    <w:basedOn w:val="afb"/>
    <w:rPr>
      <w:rFonts w:ascii="Times New Roman" w:eastAsia="Times New Roman" w:hAnsi="Times New Roman" w:cs="Times New Roman"/>
      <w:b/>
      <w:bCs/>
      <w:color w:val="1155CC"/>
      <w:u w:val="single"/>
    </w:rPr>
  </w:style>
  <w:style w:type="paragraph" w:customStyle="1" w:styleId="Afc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fb"/>
    <w:rPr>
      <w:rFonts w:ascii="Times New Roman" w:eastAsia="Times New Roman" w:hAnsi="Times New Roman" w:cs="Times New Roman"/>
      <w:color w:val="0563C1"/>
      <w:u w:val="singl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af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Hyperlink3">
    <w:name w:val="Hyperlink.3"/>
    <w:basedOn w:val="afb"/>
    <w:rPr>
      <w:rFonts w:ascii="Times New Roman" w:eastAsia="Times New Roman" w:hAnsi="Times New Roman" w:cs="Times New Roman"/>
      <w:color w:val="0000FF"/>
      <w:sz w:val="20"/>
      <w:szCs w:val="20"/>
      <w:u w:val="single"/>
      <w:lang w:val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color w:val="000000"/>
      <w:sz w:val="18"/>
      <w:szCs w:val="18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rsv.ru/" TargetMode="External" /><Relationship Id="rId12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abilympics-russia.ru/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hyperlink" Target="mailto:elena.barsegova@rsv.ru" TargetMode="External" /><Relationship Id="rId4" Type="http://schemas.openxmlformats.org/officeDocument/2006/relationships/footnotes" Target="footnotes.xml" /><Relationship Id="rId9" Type="http://schemas.openxmlformats.org/officeDocument/2006/relationships/hyperlink" Target="mailto:alena.Bahroma@gmail.com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image" Target="media/image10.png" /><Relationship Id="rId1" Type="http://schemas.openxmlformats.org/officeDocument/2006/relationships/image" Target="media/image1.png" /><Relationship Id="rId4" Type="http://schemas.openxmlformats.org/officeDocument/2006/relationships/image" Target="media/image20.png" 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Абилимпикс</dc:creator>
  <cp:lastModifiedBy>Жанна Сильнеева</cp:lastModifiedBy>
  <cp:revision>2</cp:revision>
  <dcterms:created xsi:type="dcterms:W3CDTF">2022-10-05T13:28:00Z</dcterms:created>
  <dcterms:modified xsi:type="dcterms:W3CDTF">2022-10-05T13:28:00Z</dcterms:modified>
</cp:coreProperties>
</file>